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抢救车入围招标</w:t>
      </w:r>
      <w:r>
        <w:rPr>
          <w:rFonts w:hint="eastAsia" w:asciiTheme="minorEastAsia" w:hAnsiTheme="minorEastAsia" w:eastAsiaTheme="minorEastAsia"/>
          <w:b/>
          <w:sz w:val="52"/>
          <w:szCs w:val="52"/>
        </w:rPr>
        <w:t>项目</w:t>
      </w:r>
    </w:p>
    <w:p>
      <w:pPr>
        <w:pStyle w:val="14"/>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嘉一采招（非）（货）〔2023〕70号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嘉兴市第一医院抢救车入围招标项目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2023年5月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嘉兴市第一医院抢救车入围招标项目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2023年5月25日14:30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嘉一采招（非）（货）〔2023〕70号</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嘉兴市第一医院抢救车入围招标项目</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7"/>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kern w:val="2"/>
          <w:sz w:val="24"/>
          <w:szCs w:val="24"/>
          <w:lang w:eastAsia="zh-CN"/>
        </w:rPr>
        <w:t>抢救车</w:t>
      </w:r>
      <w:r>
        <w:rPr>
          <w:rFonts w:hint="eastAsia" w:asciiTheme="minorEastAsia" w:hAnsiTheme="minorEastAsia"/>
          <w:kern w:val="2"/>
          <w:sz w:val="24"/>
          <w:szCs w:val="24"/>
          <w:lang w:val="en-US" w:eastAsia="zh-CN"/>
        </w:rPr>
        <w:t>入围项目</w:t>
      </w:r>
    </w:p>
    <w:p>
      <w:pPr>
        <w:pStyle w:val="7"/>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7"/>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35393630"/>
      <w:bookmarkStart w:id="1" w:name="_Toc28359090"/>
      <w:bookmarkStart w:id="2" w:name="_Toc28359013"/>
      <w:bookmarkStart w:id="3" w:name="_Toc35393799"/>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5"/>
        <w:numPr>
          <w:ilvl w:val="0"/>
          <w:numId w:val="5"/>
        </w:numPr>
        <w:shd w:val="clear" w:color="auto" w:fill="FFFFFF"/>
        <w:tabs>
          <w:tab w:val="left" w:pos="284"/>
          <w:tab w:val="left" w:pos="600"/>
        </w:tabs>
        <w:spacing w:line="360" w:lineRule="auto"/>
        <w:ind w:left="800" w:leftChars="0" w:hanging="560"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5"/>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7"/>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5月24日</w:t>
      </w:r>
      <w:r>
        <w:rPr>
          <w:rFonts w:hint="eastAsia" w:cs="Arial" w:asciiTheme="minorEastAsia" w:hAnsiTheme="minorEastAsia"/>
          <w:b/>
          <w:sz w:val="24"/>
          <w:highlight w:val="yellow"/>
        </w:rPr>
        <w:t>12:00；</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7"/>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28359014"/>
      <w:bookmarkStart w:id="6" w:name="_Toc35393800"/>
      <w:bookmarkStart w:id="7" w:name="_Toc35393631"/>
      <w:bookmarkStart w:id="8" w:name="_Toc28359091"/>
      <w:r>
        <w:rPr>
          <w:rFonts w:hint="eastAsia" w:asciiTheme="minorEastAsia" w:hAnsiTheme="minorEastAsia"/>
          <w:b/>
          <w:sz w:val="28"/>
          <w:szCs w:val="28"/>
        </w:rPr>
        <w:t>获取采购文件</w:t>
      </w:r>
      <w:bookmarkEnd w:id="5"/>
      <w:bookmarkEnd w:id="6"/>
      <w:bookmarkEnd w:id="7"/>
      <w:bookmarkEnd w:id="8"/>
    </w:p>
    <w:p>
      <w:pPr>
        <w:pStyle w:val="15"/>
        <w:numPr>
          <w:ilvl w:val="0"/>
          <w:numId w:val="9"/>
        </w:numPr>
        <w:tabs>
          <w:tab w:val="left" w:pos="284"/>
        </w:tabs>
        <w:suppressAutoHyphens/>
        <w:spacing w:line="360" w:lineRule="auto"/>
        <w:ind w:firstLineChars="0"/>
        <w:rPr>
          <w:rFonts w:asciiTheme="minorEastAsia" w:hAnsiTheme="minorEastAsia"/>
        </w:rPr>
      </w:pPr>
      <w:bookmarkStart w:id="9" w:name="_Toc28359015"/>
      <w:bookmarkStart w:id="10" w:name="_Toc35393801"/>
      <w:bookmarkStart w:id="11" w:name="_Toc35393632"/>
      <w:bookmarkStart w:id="12" w:name="_Toc28359092"/>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5月25日</w:t>
      </w:r>
      <w:r>
        <w:rPr>
          <w:rFonts w:hint="eastAsia" w:asciiTheme="minorEastAsia" w:hAnsiTheme="minorEastAsia"/>
          <w:lang w:eastAsia="zh-CN"/>
        </w:rPr>
        <w:t>，全天（北京时间，线上获取法定节假日均可。</w:t>
      </w:r>
      <w:r>
        <w:rPr>
          <w:rFonts w:hint="eastAsia" w:asciiTheme="minorEastAsia" w:hAnsiTheme="minorEastAsia"/>
        </w:rPr>
        <w:t>）</w:t>
      </w:r>
    </w:p>
    <w:p>
      <w:pPr>
        <w:pStyle w:val="15"/>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提交投标文件截止时间：2023年5月25日14:30（北京时间），逾期作自动放弃处理。</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开标时间：2023年5月25日14:30（北京时间）</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28359094"/>
      <w:bookmarkStart w:id="18" w:name="_Toc35393803"/>
      <w:bookmarkStart w:id="19" w:name="_Toc3539363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35393636"/>
      <w:bookmarkStart w:id="24" w:name="_Toc35393805"/>
      <w:bookmarkStart w:id="25" w:name="_Toc28359018"/>
      <w:bookmarkStart w:id="26" w:name="_Toc2835909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28359019"/>
      <w:bookmarkStart w:id="29" w:name="_Toc35393806"/>
      <w:bookmarkStart w:id="30" w:name="_Toc35393637"/>
    </w:p>
    <w:bookmarkEnd w:id="27"/>
    <w:bookmarkEnd w:id="28"/>
    <w:bookmarkEnd w:id="29"/>
    <w:bookmarkEnd w:id="30"/>
    <w:p>
      <w:pPr>
        <w:pStyle w:val="15"/>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1"/>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嘉兴市第一医院抢救车入围招标项目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5月24</w:t>
            </w:r>
            <w:bookmarkStart w:id="32" w:name="_GoBack"/>
            <w:bookmarkEnd w:id="32"/>
            <w:r>
              <w:rPr>
                <w:rFonts w:hint="eastAsia" w:asciiTheme="minorEastAsia" w:hAnsiTheme="minorEastAsia" w:eastAsiaTheme="minorEastAsia"/>
                <w:sz w:val="24"/>
                <w:szCs w:val="24"/>
                <w:lang w:val="en-US"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27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2023年5月25日14:30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2023年5月25日14:30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pStyle w:val="14"/>
        <w:ind w:firstLine="0"/>
        <w:rPr>
          <w:rFonts w:cs="宋体" w:asciiTheme="minorEastAsia" w:hAnsiTheme="minorEastAsia"/>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w:t>
      </w:r>
      <w:r>
        <w:rPr>
          <w:rFonts w:cs="宋体" w:asciiTheme="minorEastAsia" w:hAnsiTheme="minorEastAsia"/>
        </w:rPr>
        <w:t>提供企业医疗器械生产或经营许可证（备案证）</w:t>
      </w:r>
      <w:r>
        <w:rPr>
          <w:rFonts w:hint="eastAsia" w:cs="宋体" w:asciiTheme="minorEastAsia" w:hAnsiTheme="minorEastAsi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cs="Times New Roman" w:asciiTheme="minorEastAsia" w:hAnsiTheme="minorEastAsia" w:eastAsiaTheme="minorEastAsia"/>
          <w:kern w:val="0"/>
          <w:sz w:val="24"/>
          <w:szCs w:val="20"/>
          <w:lang w:val="en-US" w:eastAsia="zh-CN" w:bidi="ar-SA"/>
        </w:rPr>
        <w:t>）投标产品属于医疗器械的必须具有有效的医疗器械注册证（备案证）</w:t>
      </w:r>
      <w:r>
        <w:rPr>
          <w:rFonts w:hint="eastAsia" w:cs="Times New Roman" w:asciiTheme="minorEastAsia" w:hAnsiTheme="minorEastAsia" w:eastAsiaTheme="minorEastAsia"/>
          <w:kern w:val="0"/>
          <w:sz w:val="24"/>
          <w:szCs w:val="20"/>
          <w:lang w:val="en-US" w:eastAsia="zh-CN" w:bidi="ar-S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1"/>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对应于采购文件第四章“采购内容及需求”中“招标技术要求”的符合度，每一项不带“☆”的条款不满足采购文件要求扣2分，扣完为止。</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30</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对应于采购文件第二章“采购内容及需求”中“招标技术要求”的符合度，每一项带“☆”的条款不满足采购文件要求扣3分，扣完为止。</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售后服务机构备品备件储备情况，储备充足能充分满足售后服务要求得2分，储备一般基本能满足售后服务要求得1分，无备品备件储备得0分。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安装调试方案，包括对场地环境的了解、人员的安排、时间进度的规划，对设备的调试进度安排，调试的步骤、措施，问题的解决方案等，方案考虑充分措施有效得2分，方案合理措施一般得1分，无方案得0分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培训方案，包括但不限于培训对象、课时安排、师资力量安排等，方案考虑充分安排有效得2分，方案合理安排一般得1分，无方案得0分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shd w:val="clear" w:color="auto" w:fill="FFFFFF"/>
        <w:spacing w:line="500" w:lineRule="exact"/>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抢救车</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ind w:left="0" w:leftChars="0" w:firstLine="0" w:firstLine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2、招标技术参数</w:t>
      </w:r>
    </w:p>
    <w:tbl>
      <w:tblPr>
        <w:tblStyle w:val="11"/>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4"/>
        <w:gridCol w:w="7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尺寸：&gt;=645×500×1030（单位：mm）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表面塑粉涂层工艺符合GB/T 3280-2008规范，表面静电喷涂，硬度达2H以上，膜原≥60UM。（提供半年内厂家送检的第三方权威部门检测报告）提供符合医疗空间环境的各种色彩供院方选择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车体表面应具备抑菌功能，提供感控保护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万向轮：轮面 pu材质，防锈防卷发静音万向轮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车体四周安装有强力塑胶防撞条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现场提供1台样品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合金铝喷涂储物盒×1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手动机构+桶盖×1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优质塑料污物桶×1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不锈钢储物篮×1（内放155×155mm方形利器盒架）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优质塑料污物桶×1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不锈钢氧气瓶挂架×1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不锈钢升降输液杆×1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电力插座组×1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CPR抢救板×1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抽屉×5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抽屉内部：积木式任意分隔装置×5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除颤仪支架×1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侧面延伸操作台面×1</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8"/>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整机</w:t>
      </w:r>
      <w:r>
        <w:rPr>
          <w:rFonts w:hint="eastAsia" w:ascii="宋体" w:hAnsi="宋体"/>
          <w:color w:val="000000"/>
          <w:sz w:val="24"/>
          <w:szCs w:val="24"/>
        </w:rPr>
        <w:t>保修</w:t>
      </w:r>
      <w:r>
        <w:rPr>
          <w:rFonts w:hint="eastAsia" w:ascii="宋体" w:hAnsi="宋体"/>
          <w:color w:val="000000"/>
          <w:sz w:val="24"/>
          <w:szCs w:val="24"/>
          <w:lang w:val="en-US" w:eastAsia="zh-CN"/>
        </w:rPr>
        <w:t>3</w:t>
      </w:r>
      <w:r>
        <w:rPr>
          <w:rFonts w:hint="eastAsia" w:ascii="宋体" w:hAnsi="宋体"/>
          <w:color w:val="000000"/>
          <w:sz w:val="24"/>
          <w:szCs w:val="24"/>
        </w:rPr>
        <w:t>年（从验收合格之日起计算）</w:t>
      </w:r>
      <w:r>
        <w:rPr>
          <w:rFonts w:hint="eastAsia" w:ascii="宋体" w:hAnsi="宋体"/>
          <w:color w:val="000000"/>
          <w:sz w:val="24"/>
          <w:szCs w:val="24"/>
          <w:lang w:eastAsia="zh-CN"/>
        </w:rPr>
        <w:t>，</w:t>
      </w: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8"/>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2"/>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嘉兴市第一医院抢救车入围招标项目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嘉一采招（非）（货）〔2023〕70号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pStyle w:val="15"/>
        <w:numPr>
          <w:ilvl w:val="0"/>
          <w:numId w:val="0"/>
        </w:numPr>
        <w:tabs>
          <w:tab w:val="left" w:pos="284"/>
          <w:tab w:val="left" w:pos="993"/>
        </w:tabs>
        <w:snapToGrid w:val="0"/>
        <w:spacing w:line="460" w:lineRule="exact"/>
        <w:rPr>
          <w:rFonts w:asciiTheme="minorEastAsia" w:hAnsiTheme="minorEastAsia"/>
          <w:lang w:eastAsia="zh-CN"/>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cs="宋体" w:asciiTheme="minorEastAsia" w:hAnsiTheme="minorEastAsia"/>
          <w:lang w:eastAsia="zh-CN"/>
        </w:rPr>
        <w:t>提供企业医疗器械生产或经营许可证（备案证）</w:t>
      </w:r>
      <w:r>
        <w:rPr>
          <w:rFonts w:hint="eastAsia" w:cs="宋体" w:asciiTheme="minorEastAsia" w:hAnsiTheme="minorEastAsia"/>
          <w:lang w:eastAsia="zh-CN"/>
        </w:rPr>
        <w:t>；</w:t>
      </w:r>
    </w:p>
    <w:p>
      <w:pPr>
        <w:pStyle w:val="15"/>
        <w:numPr>
          <w:ilvl w:val="0"/>
          <w:numId w:val="0"/>
        </w:numPr>
        <w:tabs>
          <w:tab w:val="left" w:pos="284"/>
          <w:tab w:val="left" w:pos="993"/>
        </w:tabs>
        <w:snapToGrid w:val="0"/>
        <w:spacing w:line="460" w:lineRule="exact"/>
      </w:pPr>
      <w:r>
        <w:rPr>
          <w:rFonts w:asciiTheme="minorEastAsia" w:hAnsiTheme="minorEastAsia" w:eastAsiaTheme="minorEastAsia"/>
          <w:sz w:val="24"/>
        </w:rPr>
        <w:t>（</w:t>
      </w:r>
      <w:r>
        <w:rPr>
          <w:rFonts w:hint="eastAsia" w:asciiTheme="minorEastAsia" w:hAnsiTheme="minorEastAsia"/>
          <w:sz w:val="24"/>
          <w:lang w:val="en-US" w:eastAsia="zh-CN"/>
        </w:rPr>
        <w:t>6</w:t>
      </w:r>
      <w:r>
        <w:rPr>
          <w:rFonts w:asciiTheme="minorEastAsia" w:hAnsiTheme="minorEastAsia" w:eastAsiaTheme="minorEastAsia"/>
          <w:sz w:val="24"/>
        </w:rPr>
        <w:t>）</w:t>
      </w: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1"/>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9"/>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1"/>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1"/>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嘉兴市第一医院抢救车入围招标项目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嘉一采招（非）（货）〔2023〕70号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嘉兴市第一医院抢救车入围招标项目</w:t>
      </w:r>
    </w:p>
    <w:tbl>
      <w:tblPr>
        <w:tblStyle w:val="12"/>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嘉一采招（非）（货）〔2023〕70号</w:t>
      </w:r>
    </w:p>
    <w:p>
      <w:pPr>
        <w:pStyle w:val="2"/>
        <w:rPr>
          <w:rFonts w:hint="eastAsia"/>
          <w:lang w:eastAsia="zh-CN"/>
        </w:rPr>
      </w:pPr>
    </w:p>
    <w:tbl>
      <w:tblPr>
        <w:tblStyle w:val="11"/>
        <w:tblW w:w="8478" w:type="dxa"/>
        <w:jc w:val="center"/>
        <w:tblLayout w:type="autofit"/>
        <w:tblCellMar>
          <w:top w:w="0" w:type="dxa"/>
          <w:left w:w="108" w:type="dxa"/>
          <w:bottom w:w="0" w:type="dxa"/>
          <w:right w:w="108" w:type="dxa"/>
        </w:tblCellMar>
      </w:tblPr>
      <w:tblGrid>
        <w:gridCol w:w="2372"/>
        <w:gridCol w:w="2057"/>
        <w:gridCol w:w="1758"/>
        <w:gridCol w:w="2291"/>
      </w:tblGrid>
      <w:tr>
        <w:tblPrEx>
          <w:tblCellMar>
            <w:top w:w="0" w:type="dxa"/>
            <w:left w:w="108" w:type="dxa"/>
            <w:bottom w:w="0" w:type="dxa"/>
            <w:right w:w="108" w:type="dxa"/>
          </w:tblCellMar>
        </w:tblPrEx>
        <w:trPr>
          <w:trHeight w:val="917" w:hRule="atLeast"/>
          <w:jc w:val="center"/>
        </w:trPr>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2057"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758"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抢救车</w:t>
            </w:r>
          </w:p>
        </w:tc>
        <w:tc>
          <w:tcPr>
            <w:tcW w:w="2057"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58"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9">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20"/>
  </w:num>
  <w:num w:numId="4">
    <w:abstractNumId w:val="11"/>
  </w:num>
  <w:num w:numId="5">
    <w:abstractNumId w:val="28"/>
  </w:num>
  <w:num w:numId="6">
    <w:abstractNumId w:val="15"/>
  </w:num>
  <w:num w:numId="7">
    <w:abstractNumId w:val="4"/>
  </w:num>
  <w:num w:numId="8">
    <w:abstractNumId w:val="21"/>
  </w:num>
  <w:num w:numId="9">
    <w:abstractNumId w:val="31"/>
  </w:num>
  <w:num w:numId="10">
    <w:abstractNumId w:val="6"/>
  </w:num>
  <w:num w:numId="11">
    <w:abstractNumId w:val="12"/>
  </w:num>
  <w:num w:numId="12">
    <w:abstractNumId w:val="3"/>
  </w:num>
  <w:num w:numId="13">
    <w:abstractNumId w:val="18"/>
  </w:num>
  <w:num w:numId="14">
    <w:abstractNumId w:val="19"/>
  </w:num>
  <w:num w:numId="15">
    <w:abstractNumId w:val="26"/>
  </w:num>
  <w:num w:numId="16">
    <w:abstractNumId w:val="22"/>
  </w:num>
  <w:num w:numId="17">
    <w:abstractNumId w:val="16"/>
  </w:num>
  <w:num w:numId="18">
    <w:abstractNumId w:val="14"/>
  </w:num>
  <w:num w:numId="19">
    <w:abstractNumId w:val="25"/>
  </w:num>
  <w:num w:numId="20">
    <w:abstractNumId w:val="10"/>
  </w:num>
  <w:num w:numId="21">
    <w:abstractNumId w:val="5"/>
  </w:num>
  <w:num w:numId="22">
    <w:abstractNumId w:val="17"/>
  </w:num>
  <w:num w:numId="23">
    <w:abstractNumId w:val="8"/>
  </w:num>
  <w:num w:numId="24">
    <w:abstractNumId w:val="30"/>
  </w:num>
  <w:num w:numId="25">
    <w:abstractNumId w:val="27"/>
  </w:num>
  <w:num w:numId="26">
    <w:abstractNumId w:val="13"/>
  </w:num>
  <w:num w:numId="27">
    <w:abstractNumId w:val="23"/>
  </w:num>
  <w:num w:numId="28">
    <w:abstractNumId w:val="2"/>
  </w:num>
  <w:num w:numId="29">
    <w:abstractNumId w:val="1"/>
  </w:num>
  <w:num w:numId="30">
    <w:abstractNumId w:val="29"/>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2A58"/>
    <w:rsid w:val="0EB902A8"/>
    <w:rsid w:val="12082DBD"/>
    <w:rsid w:val="15E707C5"/>
    <w:rsid w:val="29420FF6"/>
    <w:rsid w:val="33616216"/>
    <w:rsid w:val="33C13509"/>
    <w:rsid w:val="342B1273"/>
    <w:rsid w:val="365A4378"/>
    <w:rsid w:val="36B625C5"/>
    <w:rsid w:val="3A863035"/>
    <w:rsid w:val="3E1C5283"/>
    <w:rsid w:val="43377EC9"/>
    <w:rsid w:val="44E20442"/>
    <w:rsid w:val="4EC54E0B"/>
    <w:rsid w:val="528B6BBB"/>
    <w:rsid w:val="5E11273A"/>
    <w:rsid w:val="7802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4">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qFormat/>
    <w:uiPriority w:val="0"/>
    <w:pPr>
      <w:keepNext/>
      <w:spacing w:line="280" w:lineRule="exact"/>
      <w:jc w:val="center"/>
      <w:outlineLvl w:val="1"/>
    </w:pPr>
    <w:rPr>
      <w:rFonts w:eastAsia="楷体_GB2312"/>
      <w:b/>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3"/>
    <w:basedOn w:val="3"/>
    <w:next w:val="1"/>
    <w:qFormat/>
    <w:uiPriority w:val="0"/>
    <w:pPr>
      <w:spacing w:line="360" w:lineRule="auto"/>
      <w:ind w:firstLine="420"/>
    </w:pPr>
    <w:rPr>
      <w:rFonts w:ascii="宋体" w:hAnsi="宋体"/>
    </w:rPr>
  </w:style>
  <w:style w:type="paragraph" w:styleId="3">
    <w:name w:val="Plain Text"/>
    <w:basedOn w:val="1"/>
    <w:next w:val="1"/>
    <w:qFormat/>
    <w:uiPriority w:val="0"/>
    <w:rPr>
      <w:rFonts w:ascii="宋体" w:hAnsi="Courier New"/>
      <w:szCs w:val="20"/>
    </w:rPr>
  </w:style>
  <w:style w:type="paragraph" w:styleId="6">
    <w:name w:val="annotation text"/>
    <w:basedOn w:val="1"/>
    <w:qFormat/>
    <w:uiPriority w:val="0"/>
    <w:pPr>
      <w:jc w:val="left"/>
    </w:pPr>
  </w:style>
  <w:style w:type="paragraph" w:styleId="7">
    <w:name w:val="Body Text"/>
    <w:basedOn w:val="1"/>
    <w:next w:val="8"/>
    <w:unhideWhenUsed/>
    <w:qFormat/>
    <w:uiPriority w:val="0"/>
    <w:pPr>
      <w:spacing w:after="120"/>
    </w:pPr>
    <w:rPr>
      <w:rFonts w:eastAsiaTheme="minorEastAsia" w:cstheme="minorBidi"/>
      <w:kern w:val="2"/>
      <w:sz w:val="28"/>
      <w:szCs w:val="24"/>
    </w:rPr>
  </w:style>
  <w:style w:type="paragraph" w:styleId="8">
    <w:name w:val="Body Text First Indent"/>
    <w:basedOn w:val="7"/>
    <w:next w:val="1"/>
    <w:qFormat/>
    <w:uiPriority w:val="0"/>
    <w:pPr>
      <w:ind w:firstLine="420" w:firstLineChars="100"/>
    </w:pPr>
    <w:rPr>
      <w:sz w:val="21"/>
    </w:rPr>
  </w:style>
  <w:style w:type="paragraph" w:styleId="9">
    <w:name w:val="index 4"/>
    <w:basedOn w:val="1"/>
    <w:next w:val="1"/>
    <w:unhideWhenUsed/>
    <w:qFormat/>
    <w:uiPriority w:val="99"/>
    <w:pPr>
      <w:ind w:left="600" w:leftChars="600"/>
    </w:pPr>
    <w:rPr>
      <w:rFonts w:ascii="Verdana" w:hAnsi="Verdana"/>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2023-05-15T06:33:04Z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