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48"/>
          <w:szCs w:val="48"/>
        </w:rPr>
      </w:pPr>
      <w:bookmarkStart w:id="33" w:name="_GoBack"/>
      <w:bookmarkEnd w:id="33"/>
    </w:p>
    <w:p>
      <w:pPr>
        <w:pStyle w:val="15"/>
        <w:ind w:firstLine="0"/>
        <w:jc w:val="center"/>
        <w:rPr>
          <w:rFonts w:hint="eastAsia" w:asciiTheme="minorEastAsia" w:hAnsiTheme="minorEastAsia" w:eastAsiaTheme="minorEastAsia"/>
          <w:b/>
          <w:sz w:val="52"/>
          <w:szCs w:val="52"/>
          <w:lang w:eastAsia="zh-CN"/>
        </w:rPr>
      </w:pPr>
      <w:r>
        <w:rPr>
          <w:rFonts w:hint="eastAsia" w:asciiTheme="minorEastAsia" w:hAnsiTheme="minorEastAsia" w:eastAsiaTheme="minorEastAsia"/>
          <w:b/>
          <w:sz w:val="52"/>
          <w:szCs w:val="52"/>
          <w:lang w:eastAsia="zh-CN"/>
        </w:rPr>
        <w:t>嘉兴市第一医院钉钉办公平台运维服务</w:t>
      </w:r>
    </w:p>
    <w:p>
      <w:pPr>
        <w:widowControl/>
        <w:tabs>
          <w:tab w:val="left" w:pos="284"/>
          <w:tab w:val="left" w:pos="993"/>
        </w:tabs>
        <w:snapToGrid w:val="0"/>
        <w:spacing w:before="120"/>
        <w:jc w:val="both"/>
        <w:rPr>
          <w:rFonts w:asciiTheme="minorEastAsia" w:hAnsiTheme="minorEastAsia" w:eastAsiaTheme="minorEastAsia"/>
          <w:b/>
          <w:spacing w:val="-20"/>
          <w:sz w:val="84"/>
          <w:szCs w:val="84"/>
        </w:rPr>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15"/>
        <w:tabs>
          <w:tab w:val="left" w:pos="284"/>
          <w:tab w:val="left" w:pos="993"/>
        </w:tabs>
        <w:ind w:firstLine="0"/>
        <w:rPr>
          <w:rFonts w:asciiTheme="minorEastAsia" w:hAnsiTheme="minorEastAsia" w:eastAsiaTheme="minorEastAsia"/>
        </w:rPr>
      </w:pPr>
    </w:p>
    <w:p>
      <w:pPr>
        <w:pStyle w:val="15"/>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嘉一采招（非）（服）〔2023〕111号</w:t>
      </w:r>
    </w:p>
    <w:p>
      <w:pPr>
        <w:pStyle w:val="15"/>
      </w:pPr>
    </w:p>
    <w:p>
      <w:pPr>
        <w:widowControl/>
        <w:tabs>
          <w:tab w:val="left" w:pos="284"/>
          <w:tab w:val="left" w:pos="993"/>
        </w:tabs>
        <w:snapToGrid w:val="0"/>
        <w:spacing w:before="120"/>
        <w:ind w:left="1659" w:leftChars="138" w:hanging="1383" w:hangingChars="492"/>
        <w:rPr>
          <w:rFonts w:hint="eastAsia" w:asciiTheme="minorEastAsia" w:hAnsiTheme="minorEastAsia" w:eastAsiaTheme="minorEastAsia"/>
          <w:b/>
          <w:sz w:val="52"/>
          <w:szCs w:val="52"/>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CN"/>
        </w:rPr>
        <w:t>嘉兴市第一医院钉钉办公平台运维服务</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2023年08月</w:t>
      </w:r>
      <w:r>
        <w:rPr>
          <w:rFonts w:hint="eastAsia" w:asciiTheme="minorEastAsia" w:hAnsiTheme="minorEastAsia" w:eastAsiaTheme="minorEastAsia"/>
          <w:b/>
          <w:sz w:val="28"/>
          <w:szCs w:val="28"/>
          <w:lang w:val="en-US" w:eastAsia="zh-CN"/>
        </w:rPr>
        <w:t>16</w:t>
      </w:r>
      <w:r>
        <w:rPr>
          <w:rFonts w:hint="eastAsia" w:asciiTheme="minorEastAsia" w:hAnsiTheme="minorEastAsia" w:eastAsiaTheme="minorEastAsia"/>
          <w:b/>
          <w:sz w:val="28"/>
          <w:szCs w:val="28"/>
          <w:lang w:eastAsia="zh-CN"/>
        </w:rPr>
        <w:t>日</w:t>
      </w:r>
    </w:p>
    <w:p>
      <w:pPr>
        <w:pStyle w:val="15"/>
        <w:tabs>
          <w:tab w:val="left" w:pos="284"/>
          <w:tab w:val="left" w:pos="993"/>
        </w:tabs>
        <w:ind w:firstLine="0"/>
        <w:rPr>
          <w:rFonts w:asciiTheme="minorEastAsia" w:hAnsiTheme="minorEastAsia" w:eastAsiaTheme="minorEastAsia"/>
        </w:rPr>
      </w:pPr>
    </w:p>
    <w:p>
      <w:pPr>
        <w:pStyle w:val="20"/>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15"/>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嘉兴市第一医院钉钉办公平台运维服务</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2023年08月25日 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20"/>
        <w:numPr>
          <w:ilvl w:val="0"/>
          <w:numId w:val="2"/>
        </w:numPr>
        <w:tabs>
          <w:tab w:val="left" w:pos="284"/>
          <w:tab w:val="left" w:pos="993"/>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嘉一采招（非）（服）〔2023〕111号</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嘉兴市第一医院钉钉办公平台运维服务</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cs="宋体" w:asciiTheme="minorEastAsia" w:hAnsiTheme="minorEastAsia"/>
          <w:kern w:val="1"/>
          <w:sz w:val="24"/>
        </w:rPr>
        <w:t>预算金额</w:t>
      </w:r>
      <w:r>
        <w:rPr>
          <w:rFonts w:hint="eastAsia" w:cs="宋体" w:asciiTheme="minorEastAsia" w:hAnsiTheme="minorEastAsia"/>
          <w:kern w:val="1"/>
          <w:sz w:val="24"/>
        </w:rPr>
        <w:t>：</w:t>
      </w:r>
      <w:r>
        <w:rPr>
          <w:rFonts w:hint="eastAsia" w:cs="宋体" w:asciiTheme="minorEastAsia" w:hAnsiTheme="minorEastAsia"/>
          <w:kern w:val="1"/>
          <w:sz w:val="24"/>
          <w:lang w:val="en-US" w:eastAsia="zh-CN"/>
        </w:rPr>
        <w:t>6.58</w:t>
      </w:r>
      <w:r>
        <w:rPr>
          <w:rFonts w:hint="eastAsia" w:cs="宋体" w:asciiTheme="minorEastAsia" w:hAnsiTheme="minorEastAsia"/>
          <w:kern w:val="1"/>
          <w:sz w:val="24"/>
        </w:rPr>
        <w:t>万元</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cs="宋体" w:asciiTheme="minorEastAsia" w:hAnsiTheme="minorEastAsia"/>
          <w:kern w:val="1"/>
          <w:sz w:val="24"/>
        </w:rPr>
        <w:t xml:space="preserve"> </w:t>
      </w:r>
      <w:r>
        <w:rPr>
          <w:rFonts w:hint="eastAsia" w:cs="宋体" w:asciiTheme="minorEastAsia" w:hAnsiTheme="minorEastAsia"/>
          <w:kern w:val="1"/>
          <w:sz w:val="24"/>
          <w:lang w:eastAsia="zh-CN"/>
        </w:rPr>
        <w:t>钉钉办公平台运维服务</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服务期：</w:t>
      </w:r>
      <w:r>
        <w:rPr>
          <w:rFonts w:hint="eastAsia" w:cs="宋体" w:asciiTheme="minorEastAsia" w:hAnsiTheme="minorEastAsia"/>
          <w:kern w:val="1"/>
          <w:sz w:val="24"/>
          <w:lang w:val="en-US" w:eastAsia="zh-CN"/>
        </w:rPr>
        <w:t>1</w:t>
      </w:r>
      <w:r>
        <w:rPr>
          <w:rFonts w:hint="eastAsia" w:cs="宋体" w:asciiTheme="minorEastAsia" w:hAnsiTheme="minorEastAsia"/>
          <w:kern w:val="1"/>
          <w:sz w:val="24"/>
        </w:rPr>
        <w:t>年</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0" w:name="_Toc35393630"/>
      <w:bookmarkStart w:id="1" w:name="_Toc28359013"/>
      <w:bookmarkStart w:id="2" w:name="_Toc28359090"/>
      <w:bookmarkStart w:id="3" w:name="_Toc35393799"/>
      <w:r>
        <w:rPr>
          <w:rFonts w:hint="eastAsia" w:asciiTheme="minorEastAsia" w:hAnsiTheme="minorEastAsia"/>
          <w:b/>
          <w:sz w:val="28"/>
          <w:szCs w:val="28"/>
        </w:rPr>
        <w:t>申请人的资格要求：</w:t>
      </w:r>
      <w:bookmarkEnd w:id="0"/>
      <w:bookmarkEnd w:id="1"/>
      <w:bookmarkEnd w:id="2"/>
      <w:bookmarkEnd w:id="3"/>
    </w:p>
    <w:p>
      <w:pPr>
        <w:pStyle w:val="20"/>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20"/>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20"/>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20"/>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20"/>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20"/>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20"/>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20"/>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4"/>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4"/>
        <w:numPr>
          <w:ilvl w:val="0"/>
          <w:numId w:val="6"/>
        </w:numPr>
        <w:tabs>
          <w:tab w:val="left" w:pos="284"/>
          <w:tab w:val="left" w:pos="993"/>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2023年08月</w:t>
      </w:r>
      <w:r>
        <w:rPr>
          <w:rFonts w:hint="eastAsia" w:cs="Arial" w:asciiTheme="minorEastAsia" w:hAnsiTheme="minorEastAsia"/>
          <w:b/>
          <w:sz w:val="24"/>
          <w:highlight w:val="yellow"/>
          <w:lang w:val="en-US" w:eastAsia="zh-CN"/>
        </w:rPr>
        <w:t>24</w:t>
      </w:r>
      <w:r>
        <w:rPr>
          <w:rFonts w:hint="eastAsia" w:cs="Arial" w:asciiTheme="minorEastAsia" w:hAnsiTheme="minorEastAsia"/>
          <w:b/>
          <w:sz w:val="24"/>
          <w:highlight w:val="yellow"/>
        </w:rPr>
        <w:t>日</w:t>
      </w:r>
      <w:r>
        <w:rPr>
          <w:rFonts w:hint="eastAsia" w:cs="Arial" w:asciiTheme="minorEastAsia" w:hAnsiTheme="minorEastAsia"/>
          <w:b/>
          <w:sz w:val="24"/>
          <w:highlight w:val="yellow"/>
          <w:lang w:val="en-US" w:eastAsia="zh-CN"/>
        </w:rPr>
        <w:t xml:space="preserve"> </w:t>
      </w:r>
      <w:r>
        <w:rPr>
          <w:rFonts w:hint="eastAsia" w:cs="Arial" w:asciiTheme="minorEastAsia" w:hAnsiTheme="minorEastAsia"/>
          <w:b/>
          <w:sz w:val="24"/>
          <w:highlight w:val="yellow"/>
        </w:rPr>
        <w:t>12:00；</w:t>
      </w:r>
    </w:p>
    <w:p>
      <w:pPr>
        <w:pStyle w:val="4"/>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w:t>
      </w:r>
      <w:r>
        <w:rPr>
          <w:rFonts w:hint="eastAsia" w:cs="宋体" w:asciiTheme="minorEastAsia" w:hAnsiTheme="minorEastAsia"/>
          <w:sz w:val="24"/>
          <w:lang w:val="en-US" w:eastAsia="zh-CN"/>
        </w:rPr>
        <w:t>14:00</w:t>
      </w:r>
      <w:r>
        <w:rPr>
          <w:rFonts w:hint="eastAsia" w:cs="宋体" w:asciiTheme="minorEastAsia" w:hAnsiTheme="minorEastAsia"/>
          <w:sz w:val="24"/>
        </w:rPr>
        <w:t xml:space="preserve">-17:00） </w:t>
      </w:r>
    </w:p>
    <w:p>
      <w:pPr>
        <w:pStyle w:val="4"/>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20"/>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5" w:name="_Toc28359014"/>
      <w:bookmarkStart w:id="6" w:name="_Toc35393631"/>
      <w:bookmarkStart w:id="7" w:name="_Toc28359091"/>
      <w:bookmarkStart w:id="8" w:name="_Toc35393800"/>
      <w:r>
        <w:rPr>
          <w:rFonts w:hint="eastAsia" w:asciiTheme="minorEastAsia" w:hAnsiTheme="minorEastAsia"/>
          <w:b/>
          <w:sz w:val="28"/>
          <w:szCs w:val="28"/>
        </w:rPr>
        <w:t>获取采购文件</w:t>
      </w:r>
      <w:bookmarkEnd w:id="5"/>
      <w:bookmarkEnd w:id="6"/>
      <w:bookmarkEnd w:id="7"/>
      <w:bookmarkEnd w:id="8"/>
    </w:p>
    <w:p>
      <w:pPr>
        <w:pStyle w:val="20"/>
        <w:numPr>
          <w:ilvl w:val="0"/>
          <w:numId w:val="8"/>
        </w:numPr>
        <w:tabs>
          <w:tab w:val="left" w:pos="284"/>
          <w:tab w:val="left" w:pos="400"/>
        </w:tabs>
        <w:suppressAutoHyphens/>
        <w:spacing w:line="360" w:lineRule="auto"/>
        <w:ind w:firstLineChars="0"/>
        <w:rPr>
          <w:rFonts w:asciiTheme="minorEastAsia" w:hAnsiTheme="minorEastAsia"/>
        </w:rPr>
      </w:pPr>
      <w:bookmarkStart w:id="9" w:name="_Toc35393632"/>
      <w:bookmarkStart w:id="10" w:name="_Toc35393801"/>
      <w:bookmarkStart w:id="11" w:name="_Toc28359092"/>
      <w:bookmarkStart w:id="12" w:name="_Toc28359015"/>
      <w:r>
        <w:rPr>
          <w:rFonts w:hint="eastAsia" w:asciiTheme="minorEastAsia" w:hAnsiTheme="minorEastAsia"/>
          <w:lang w:eastAsia="zh-CN"/>
        </w:rPr>
        <w:t>时间：2023年08月</w:t>
      </w:r>
      <w:r>
        <w:rPr>
          <w:rFonts w:hint="eastAsia" w:asciiTheme="minorEastAsia" w:hAnsiTheme="minorEastAsia"/>
          <w:lang w:val="en-US" w:eastAsia="zh-CN"/>
        </w:rPr>
        <w:t>16</w:t>
      </w:r>
      <w:r>
        <w:rPr>
          <w:rFonts w:hint="eastAsia" w:asciiTheme="minorEastAsia" w:hAnsiTheme="minorEastAsia"/>
          <w:lang w:eastAsia="zh-CN"/>
        </w:rPr>
        <w:t>日至2023年08月</w:t>
      </w:r>
      <w:r>
        <w:rPr>
          <w:rFonts w:hint="eastAsia" w:asciiTheme="minorEastAsia" w:hAnsiTheme="minorEastAsia"/>
          <w:lang w:val="en-US" w:eastAsia="zh-CN"/>
        </w:rPr>
        <w:t>25</w:t>
      </w:r>
      <w:r>
        <w:rPr>
          <w:rFonts w:hint="eastAsia" w:asciiTheme="minorEastAsia" w:hAnsiTheme="minorEastAsia"/>
          <w:lang w:eastAsia="zh-CN"/>
        </w:rPr>
        <w:t>日 ，全天（北京时间，线上获取法定节假日均可。</w:t>
      </w:r>
      <w:r>
        <w:rPr>
          <w:rFonts w:hint="eastAsia" w:asciiTheme="minorEastAsia" w:hAnsiTheme="minorEastAsia"/>
        </w:rPr>
        <w:t>）</w:t>
      </w:r>
    </w:p>
    <w:p>
      <w:pPr>
        <w:pStyle w:val="20"/>
        <w:numPr>
          <w:ilvl w:val="0"/>
          <w:numId w:val="8"/>
        </w:numPr>
        <w:tabs>
          <w:tab w:val="left" w:pos="284"/>
          <w:tab w:val="left" w:pos="400"/>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20"/>
        <w:numPr>
          <w:ilvl w:val="0"/>
          <w:numId w:val="8"/>
        </w:numPr>
        <w:tabs>
          <w:tab w:val="left" w:pos="284"/>
          <w:tab w:val="left" w:pos="400"/>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05"/>
      <w:bookmarkStart w:id="14" w:name="_Toc28359082"/>
      <w:bookmarkStart w:id="15" w:name="_Toc35393793"/>
      <w:bookmarkStart w:id="16" w:name="_Toc35393624"/>
    </w:p>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20"/>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20"/>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提交投标文件截止时间：2023年08月25日 14:30（北京时间），逾期作自动放弃处理。</w:t>
      </w:r>
    </w:p>
    <w:p>
      <w:pPr>
        <w:pStyle w:val="20"/>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20"/>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开标时间：2023年08月25日 14:30（北京时间）</w:t>
      </w:r>
    </w:p>
    <w:p>
      <w:pPr>
        <w:pStyle w:val="20"/>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w:t>
      </w:r>
      <w:r>
        <w:rPr>
          <w:rFonts w:hint="eastAsia" w:asciiTheme="minorEastAsia" w:hAnsiTheme="minorEastAsia"/>
          <w:b/>
          <w:lang w:val="en-US" w:eastAsia="zh-CN"/>
        </w:rPr>
        <w:t>3</w:t>
      </w:r>
      <w:r>
        <w:rPr>
          <w:rFonts w:hint="eastAsia" w:asciiTheme="minorEastAsia" w:hAnsiTheme="minorEastAsia"/>
          <w:b/>
          <w:lang w:eastAsia="zh-CN"/>
        </w:rPr>
        <w:t>0前将投标文件送达至指定地点</w:t>
      </w:r>
      <w:r>
        <w:rPr>
          <w:rFonts w:asciiTheme="minorEastAsia" w:hAnsiTheme="minorEastAsia"/>
          <w:b/>
          <w:lang w:eastAsia="zh-CN"/>
        </w:rPr>
        <w:t>[</w:t>
      </w:r>
      <w:r>
        <w:rPr>
          <w:rFonts w:hint="eastAsia" w:asciiTheme="minorEastAsia" w:hAnsiTheme="minorEastAsia"/>
          <w:b/>
          <w:lang w:eastAsia="zh-CN"/>
        </w:rPr>
        <w:t>采用快递方式至浙江省嘉兴市中环南路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17" w:name="_Toc35393634"/>
      <w:bookmarkStart w:id="18" w:name="_Toc35393803"/>
      <w:bookmarkStart w:id="19" w:name="_Toc28359017"/>
      <w:bookmarkStart w:id="20" w:name="_Toc28359094"/>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21" w:name="_Toc35393635"/>
      <w:bookmarkStart w:id="22" w:name="_Toc35393804"/>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20"/>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bookmarkStart w:id="23" w:name="_Toc28359095"/>
      <w:bookmarkStart w:id="24" w:name="_Toc28359018"/>
      <w:bookmarkStart w:id="25" w:name="_Toc35393805"/>
      <w:bookmarkStart w:id="26" w:name="_Toc35393636"/>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637"/>
      <w:bookmarkStart w:id="28" w:name="_Toc28359096"/>
      <w:bookmarkStart w:id="29" w:name="_Toc35393806"/>
      <w:bookmarkStart w:id="30" w:name="_Toc28359019"/>
    </w:p>
    <w:bookmarkEnd w:id="27"/>
    <w:bookmarkEnd w:id="28"/>
    <w:bookmarkEnd w:id="29"/>
    <w:bookmarkEnd w:id="30"/>
    <w:p>
      <w:pPr>
        <w:pStyle w:val="20"/>
        <w:numPr>
          <w:ilvl w:val="0"/>
          <w:numId w:val="10"/>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联系人：  </w:t>
      </w:r>
      <w:r>
        <w:rPr>
          <w:rFonts w:hint="eastAsia" w:cs="宋体" w:asciiTheme="minorEastAsia" w:hAnsiTheme="minorEastAsia" w:eastAsiaTheme="minorEastAsia"/>
          <w:sz w:val="24"/>
          <w:lang w:val="en-US" w:eastAsia="zh-CN"/>
        </w:rPr>
        <w:t>全</w:t>
      </w:r>
      <w:r>
        <w:rPr>
          <w:rFonts w:hint="eastAsia" w:cs="宋体" w:asciiTheme="minorEastAsia" w:hAnsiTheme="minorEastAsia" w:eastAsiaTheme="minorEastAsia"/>
          <w:sz w:val="24"/>
        </w:rPr>
        <w:t>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20"/>
        <w:numPr>
          <w:ilvl w:val="0"/>
          <w:numId w:val="10"/>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 w:val="24"/>
          <w:szCs w:val="24"/>
        </w:rPr>
      </w:pPr>
      <w:r>
        <w:rPr>
          <w:rFonts w:asciiTheme="minorEastAsia" w:hAnsiTheme="minorEastAsia" w:eastAsiaTheme="minorEastAsia"/>
          <w:szCs w:val="24"/>
        </w:rPr>
        <w:br w:type="page"/>
      </w:r>
    </w:p>
    <w:p>
      <w:pPr>
        <w:pStyle w:val="20"/>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2"/>
        <w:tblW w:w="9751" w:type="dxa"/>
        <w:jc w:val="center"/>
        <w:tblLayout w:type="fixed"/>
        <w:tblCellMar>
          <w:top w:w="0" w:type="dxa"/>
          <w:left w:w="0" w:type="dxa"/>
          <w:bottom w:w="0" w:type="dxa"/>
          <w:right w:w="0" w:type="dxa"/>
        </w:tblCellMar>
      </w:tblPr>
      <w:tblGrid>
        <w:gridCol w:w="654"/>
        <w:gridCol w:w="1965"/>
        <w:gridCol w:w="7132"/>
      </w:tblGrid>
      <w:tr>
        <w:tblPrEx>
          <w:tblCellMar>
            <w:top w:w="0" w:type="dxa"/>
            <w:left w:w="0" w:type="dxa"/>
            <w:bottom w:w="0" w:type="dxa"/>
            <w:right w:w="0" w:type="dxa"/>
          </w:tblCellMar>
        </w:tblPrEx>
        <w:trPr>
          <w:trHeight w:val="473"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要    求</w:t>
            </w:r>
          </w:p>
        </w:tc>
      </w:tr>
      <w:tr>
        <w:tblPrEx>
          <w:tblCellMar>
            <w:top w:w="0" w:type="dxa"/>
            <w:left w:w="0" w:type="dxa"/>
            <w:bottom w:w="0" w:type="dxa"/>
            <w:right w:w="0" w:type="dxa"/>
          </w:tblCellMar>
        </w:tblPrEx>
        <w:trPr>
          <w:trHeight w:val="396"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嘉兴市第一医院钉钉办公平台运维服务</w:t>
            </w:r>
          </w:p>
        </w:tc>
      </w:tr>
      <w:tr>
        <w:tblPrEx>
          <w:tblCellMar>
            <w:top w:w="0" w:type="dxa"/>
            <w:left w:w="0" w:type="dxa"/>
            <w:bottom w:w="0" w:type="dxa"/>
            <w:right w:w="0" w:type="dxa"/>
          </w:tblCellMar>
        </w:tblPrEx>
        <w:trPr>
          <w:trHeight w:val="18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招标人发出招标文件澄清或者修改的截止时间和方式</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lang w:eastAsia="zh-CN"/>
              </w:rPr>
              <w:t>2023年08月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lang w:eastAsia="zh-CN"/>
              </w:rPr>
              <w:t>日 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:00</w:t>
            </w:r>
          </w:p>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投标人确认收到澄清或者修改的时间和方式</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投标文件组成</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投标文件组成：投标文件由</w:t>
            </w:r>
            <w:r>
              <w:rPr>
                <w:rFonts w:hint="eastAsia" w:asciiTheme="minorEastAsia" w:hAnsiTheme="minorEastAsia" w:eastAsiaTheme="minorEastAsia" w:cstheme="minorEastAsia"/>
                <w:sz w:val="24"/>
                <w:szCs w:val="24"/>
              </w:rPr>
              <w:t>资信商务及技术文件、投标报价文件两部分</w:t>
            </w:r>
            <w:r>
              <w:rPr>
                <w:rFonts w:hint="eastAsia" w:asciiTheme="minorEastAsia" w:hAnsiTheme="minorEastAsia" w:eastAsiaTheme="minorEastAsia" w:cstheme="minorEastAsia"/>
                <w:sz w:val="24"/>
                <w:szCs w:val="24"/>
                <w:lang w:eastAsia="zh-TW"/>
              </w:rPr>
              <w:t>组成（其中：资信商务</w:t>
            </w:r>
            <w:r>
              <w:rPr>
                <w:rFonts w:hint="eastAsia" w:asciiTheme="minorEastAsia" w:hAnsiTheme="minorEastAsia" w:eastAsiaTheme="minorEastAsia" w:cstheme="minorEastAsia"/>
                <w:sz w:val="24"/>
                <w:szCs w:val="24"/>
              </w:rPr>
              <w:t>及</w:t>
            </w:r>
            <w:r>
              <w:rPr>
                <w:rFonts w:hint="eastAsia" w:asciiTheme="minorEastAsia" w:hAnsiTheme="minorEastAsia" w:eastAsiaTheme="minorEastAsia" w:cstheme="minorEastAsia"/>
                <w:sz w:val="24"/>
                <w:szCs w:val="24"/>
                <w:lang w:eastAsia="zh-TW"/>
              </w:rPr>
              <w:t>技术文件正本</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TW"/>
              </w:rPr>
              <w:t>份，副本</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TW"/>
              </w:rPr>
              <w:t>份；报价文件正本</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TW"/>
              </w:rPr>
              <w:t>份，副本</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TW"/>
              </w:rPr>
              <w:t>份，单独密封）。</w:t>
            </w:r>
          </w:p>
        </w:tc>
      </w:tr>
      <w:tr>
        <w:tblPrEx>
          <w:tblCellMar>
            <w:top w:w="0" w:type="dxa"/>
            <w:left w:w="0" w:type="dxa"/>
            <w:bottom w:w="0" w:type="dxa"/>
            <w:right w:w="0" w:type="dxa"/>
          </w:tblCellMar>
        </w:tblPrEx>
        <w:trPr>
          <w:trHeight w:val="878"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中标结果公告</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评标结束后</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TW"/>
              </w:rPr>
              <w:t>个工作日内在</w:t>
            </w:r>
            <w:r>
              <w:rPr>
                <w:rFonts w:hint="eastAsia" w:asciiTheme="minorEastAsia" w:hAnsiTheme="minorEastAsia" w:eastAsiaTheme="minorEastAsia" w:cstheme="minorEastAsia"/>
                <w:sz w:val="24"/>
                <w:szCs w:val="24"/>
              </w:rPr>
              <w:t>嘉兴市第一医院外网（http://www.jxdyyy.com）公告</w:t>
            </w:r>
            <w:r>
              <w:rPr>
                <w:rFonts w:hint="eastAsia" w:asciiTheme="minorEastAsia" w:hAnsiTheme="minorEastAsia" w:eastAsiaTheme="minorEastAsia" w:cstheme="minorEastAsia"/>
                <w:sz w:val="24"/>
                <w:szCs w:val="24"/>
                <w:lang w:eastAsia="zh-TW"/>
              </w:rPr>
              <w:t>，公告期为</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TW"/>
              </w:rPr>
              <w:t>个工作日。</w:t>
            </w:r>
          </w:p>
        </w:tc>
      </w:tr>
      <w:tr>
        <w:tblPrEx>
          <w:tblCellMar>
            <w:top w:w="0" w:type="dxa"/>
            <w:left w:w="0" w:type="dxa"/>
            <w:bottom w:w="0" w:type="dxa"/>
            <w:right w:w="0" w:type="dxa"/>
          </w:tblCellMar>
        </w:tblPrEx>
        <w:trPr>
          <w:trHeight w:val="227"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投标截止时间与投标文件递交地点</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TW"/>
              </w:rPr>
              <w:t>投标截止日期和时间：</w:t>
            </w:r>
            <w:r>
              <w:rPr>
                <w:rFonts w:hint="eastAsia" w:asciiTheme="minorEastAsia" w:hAnsiTheme="minorEastAsia" w:eastAsiaTheme="minorEastAsia" w:cstheme="minorEastAsia"/>
                <w:kern w:val="2"/>
                <w:sz w:val="24"/>
                <w:szCs w:val="24"/>
                <w:lang w:eastAsia="zh-CN"/>
              </w:rPr>
              <w:t>2023年08月25日 14:30</w:t>
            </w:r>
          </w:p>
          <w:p>
            <w:pPr>
              <w:tabs>
                <w:tab w:val="left" w:pos="284"/>
                <w:tab w:val="left" w:pos="993"/>
              </w:tabs>
              <w:spacing w:line="360" w:lineRule="auto"/>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开标时间与地点</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outlineLvl w:val="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z w:val="24"/>
                <w:szCs w:val="24"/>
              </w:rPr>
              <w:t>开标时间</w:t>
            </w:r>
            <w:r>
              <w:rPr>
                <w:rFonts w:hint="eastAsia" w:asciiTheme="minorEastAsia" w:hAnsiTheme="minorEastAsia" w:eastAsiaTheme="minorEastAsia" w:cstheme="minorEastAsia"/>
                <w:b/>
                <w:sz w:val="24"/>
                <w:szCs w:val="24"/>
                <w:lang w:eastAsia="zh-TW"/>
              </w:rPr>
              <w:t>：</w:t>
            </w:r>
            <w:r>
              <w:rPr>
                <w:rFonts w:hint="eastAsia" w:asciiTheme="minorEastAsia" w:hAnsiTheme="minorEastAsia" w:eastAsiaTheme="minorEastAsia" w:cstheme="minorEastAsia"/>
                <w:b/>
                <w:sz w:val="24"/>
                <w:szCs w:val="24"/>
                <w:highlight w:val="yellow"/>
                <w:lang w:eastAsia="zh-CN"/>
              </w:rPr>
              <w:t>2023年08月25日 14:30</w:t>
            </w:r>
          </w:p>
          <w:p>
            <w:pPr>
              <w:tabs>
                <w:tab w:val="left" w:pos="284"/>
                <w:tab w:val="left" w:pos="993"/>
              </w:tabs>
              <w:spacing w:line="360" w:lineRule="auto"/>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中标候选人推荐原则</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评标委员会依据综合打分结果进行排序</w:t>
            </w:r>
            <w:r>
              <w:rPr>
                <w:rFonts w:hint="eastAsia" w:asciiTheme="minorEastAsia" w:hAnsiTheme="minorEastAsia" w:eastAsiaTheme="minorEastAsia" w:cstheme="minorEastAsia"/>
                <w:sz w:val="24"/>
                <w:szCs w:val="24"/>
              </w:rPr>
              <w:t>；</w:t>
            </w:r>
          </w:p>
          <w:p>
            <w:pPr>
              <w:pStyle w:val="15"/>
              <w:widowControl w:val="0"/>
              <w:snapToGrid/>
              <w:spacing w:line="360" w:lineRule="auto"/>
              <w:ind w:firstLine="0"/>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outlineLvl w:val="0"/>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中标人确定</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招标人根据评标委员会推荐的中标候选人确定综合得分由高到低排名，中标人数量：</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TW"/>
              </w:rPr>
              <w:t>。</w:t>
            </w:r>
          </w:p>
        </w:tc>
      </w:tr>
      <w:tr>
        <w:tblPrEx>
          <w:tblCellMar>
            <w:top w:w="0" w:type="dxa"/>
            <w:left w:w="0" w:type="dxa"/>
            <w:bottom w:w="0" w:type="dxa"/>
            <w:right w:w="0" w:type="dxa"/>
          </w:tblCellMar>
        </w:tblPrEx>
        <w:trPr>
          <w:trHeight w:val="575"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合同签订时间</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成交结果公示期结束后30日内</w:t>
            </w:r>
            <w:r>
              <w:rPr>
                <w:rFonts w:hint="eastAsia" w:asciiTheme="minorEastAsia" w:hAnsiTheme="minorEastAsia" w:eastAsiaTheme="minorEastAsia" w:cstheme="minorEastAsia"/>
                <w:sz w:val="24"/>
                <w:szCs w:val="24"/>
              </w:rPr>
              <w:t>。</w:t>
            </w:r>
          </w:p>
        </w:tc>
      </w:tr>
      <w:tr>
        <w:tblPrEx>
          <w:tblCellMar>
            <w:top w:w="0" w:type="dxa"/>
            <w:left w:w="0" w:type="dxa"/>
            <w:bottom w:w="0" w:type="dxa"/>
            <w:right w:w="0" w:type="dxa"/>
          </w:tblCellMar>
        </w:tblPrEx>
        <w:trPr>
          <w:trHeight w:val="233"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tblPrEx>
          <w:tblCellMar>
            <w:top w:w="0" w:type="dxa"/>
            <w:left w:w="0" w:type="dxa"/>
            <w:bottom w:w="0" w:type="dxa"/>
            <w:right w:w="0" w:type="dxa"/>
          </w:tblCellMar>
        </w:tblPrEx>
        <w:trPr>
          <w:trHeight w:val="336"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交货期</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360" w:lineRule="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按招标人要求。</w:t>
            </w:r>
          </w:p>
        </w:tc>
      </w:tr>
      <w:tr>
        <w:tblPrEx>
          <w:tblCellMar>
            <w:top w:w="0" w:type="dxa"/>
            <w:left w:w="0" w:type="dxa"/>
            <w:bottom w:w="0" w:type="dxa"/>
            <w:right w:w="0"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13</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5"/>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sz w:val="24"/>
                <w:szCs w:val="24"/>
                <w:lang w:eastAsia="zh-TW"/>
              </w:rPr>
              <w:t>合同签订后，招标方支付中标方合同总价的</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TW"/>
              </w:rPr>
              <w:t>0%，</w:t>
            </w:r>
            <w:r>
              <w:rPr>
                <w:rFonts w:hint="eastAsia" w:ascii="宋体" w:hAnsi="宋体"/>
                <w:sz w:val="24"/>
                <w:szCs w:val="24"/>
              </w:rPr>
              <w:t>合同执行满一年，考核合格且无售后服务问题，支付剩余合同总金额</w:t>
            </w:r>
            <w:r>
              <w:rPr>
                <w:rFonts w:hint="eastAsia" w:ascii="宋体" w:hAnsi="宋体"/>
                <w:sz w:val="24"/>
                <w:szCs w:val="24"/>
                <w:lang w:val="en-US" w:eastAsia="zh-CN"/>
              </w:rPr>
              <w:t>5</w:t>
            </w:r>
            <w:r>
              <w:rPr>
                <w:rFonts w:hint="eastAsia" w:ascii="宋体" w:hAnsi="宋体"/>
                <w:sz w:val="24"/>
                <w:szCs w:val="24"/>
              </w:rPr>
              <w:t>0%的款项</w:t>
            </w:r>
            <w:r>
              <w:rPr>
                <w:rFonts w:hint="eastAsia" w:asciiTheme="minorEastAsia" w:hAnsiTheme="minorEastAsia" w:eastAsiaTheme="minorEastAsia" w:cstheme="minorEastAsia"/>
                <w:color w:val="000000"/>
                <w:sz w:val="24"/>
                <w:szCs w:val="24"/>
                <w:lang w:eastAsia="zh-TW"/>
              </w:rPr>
              <w:t>。</w:t>
            </w:r>
          </w:p>
        </w:tc>
      </w:tr>
      <w:tr>
        <w:tblPrEx>
          <w:tblCellMar>
            <w:top w:w="0" w:type="dxa"/>
            <w:left w:w="0" w:type="dxa"/>
            <w:bottom w:w="0" w:type="dxa"/>
            <w:right w:w="0" w:type="dxa"/>
          </w:tblCellMar>
        </w:tblPrEx>
        <w:trPr>
          <w:trHeight w:val="463"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TW"/>
              </w:rPr>
              <w:t>投标文件有效期</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90天</w:t>
            </w:r>
          </w:p>
        </w:tc>
      </w:tr>
      <w:tr>
        <w:tblPrEx>
          <w:tblCellMar>
            <w:top w:w="0" w:type="dxa"/>
            <w:left w:w="0" w:type="dxa"/>
            <w:bottom w:w="0" w:type="dxa"/>
            <w:right w:w="0" w:type="dxa"/>
          </w:tblCellMar>
        </w:tblPrEx>
        <w:trPr>
          <w:trHeight w:val="1151"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TW"/>
              </w:rPr>
              <w:t>投标</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本项目采用不见面开标方式。</w:t>
            </w:r>
            <w:r>
              <w:rPr>
                <w:rFonts w:hint="eastAsia" w:asciiTheme="minorEastAsia" w:hAnsiTheme="minorEastAsia" w:eastAsiaTheme="minorEastAsia" w:cstheme="minorEastAsia"/>
                <w:sz w:val="24"/>
                <w:szCs w:val="24"/>
              </w:rPr>
              <w:t>请各投标人务必在开标当日</w:t>
            </w:r>
            <w:r>
              <w:rPr>
                <w:rFonts w:hint="eastAsia" w:asciiTheme="minorEastAsia" w:hAnsiTheme="minorEastAsia" w:eastAsiaTheme="minorEastAsia" w:cstheme="minorEastAsia"/>
                <w:kern w:val="2"/>
                <w:sz w:val="24"/>
                <w:szCs w:val="24"/>
                <w:lang w:val="en-US" w:eastAsia="zh-CN"/>
              </w:rPr>
              <w:t>14:30</w:t>
            </w:r>
            <w:r>
              <w:rPr>
                <w:rFonts w:hint="eastAsia" w:asciiTheme="minorEastAsia" w:hAnsiTheme="minorEastAsia" w:eastAsiaTheme="minorEastAsia" w:cstheme="minorEastAsia"/>
                <w:sz w:val="24"/>
                <w:szCs w:val="24"/>
              </w:rPr>
              <w:t>前将投标文件送达至指定地点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sz w:val="24"/>
                <w:szCs w:val="24"/>
              </w:rPr>
              <w:t>请采用快递方式邮寄至浙江省嘉兴市中环南路 1882 号嘉兴市第一医院六号楼四楼招标采购中心</w:t>
            </w:r>
            <w:r>
              <w:rPr>
                <w:rFonts w:hint="eastAsia" w:asciiTheme="minorEastAsia" w:hAnsiTheme="minorEastAsia" w:eastAsiaTheme="minorEastAsia" w:cstheme="minorEastAsia"/>
                <w:sz w:val="24"/>
                <w:szCs w:val="24"/>
              </w:rPr>
              <w:t>（接收人喻老师， 电话 0573-82221162），投标人代表不参加开标会议。</w:t>
            </w:r>
          </w:p>
        </w:tc>
      </w:tr>
      <w:tr>
        <w:tblPrEx>
          <w:tblCellMar>
            <w:top w:w="0" w:type="dxa"/>
            <w:left w:w="0" w:type="dxa"/>
            <w:bottom w:w="0" w:type="dxa"/>
            <w:right w:w="0" w:type="dxa"/>
          </w:tblCellMar>
        </w:tblPrEx>
        <w:trPr>
          <w:trHeight w:val="240"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p>
        </w:tc>
        <w:tc>
          <w:tcPr>
            <w:tcW w:w="19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rPr>
              <w:t>解释权</w:t>
            </w:r>
          </w:p>
        </w:tc>
        <w:tc>
          <w:tcPr>
            <w:tcW w:w="713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eastAsia="zh-TW"/>
              </w:rPr>
              <w:t>本招标文件的解释权属于招标</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lang w:eastAsia="zh-TW"/>
              </w:rPr>
              <w:t>。</w:t>
            </w:r>
          </w:p>
        </w:tc>
      </w:tr>
    </w:tbl>
    <w:p>
      <w:pPr>
        <w:pStyle w:val="20"/>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20"/>
        <w:numPr>
          <w:ilvl w:val="0"/>
          <w:numId w:val="12"/>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20"/>
        <w:numPr>
          <w:ilvl w:val="0"/>
          <w:numId w:val="12"/>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20"/>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20"/>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20"/>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20"/>
        <w:numPr>
          <w:ilvl w:val="0"/>
          <w:numId w:val="12"/>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20"/>
        <w:numPr>
          <w:ilvl w:val="0"/>
          <w:numId w:val="12"/>
        </w:numPr>
        <w:tabs>
          <w:tab w:val="left" w:pos="142"/>
          <w:tab w:val="left" w:pos="993"/>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20"/>
        <w:numPr>
          <w:ilvl w:val="0"/>
          <w:numId w:val="12"/>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20"/>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20"/>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20"/>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20"/>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20"/>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20"/>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20"/>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20"/>
        <w:numPr>
          <w:ilvl w:val="0"/>
          <w:numId w:val="17"/>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20"/>
        <w:numPr>
          <w:ilvl w:val="0"/>
          <w:numId w:val="17"/>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20"/>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20"/>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20"/>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20"/>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20"/>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20"/>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20"/>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20"/>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20"/>
        <w:numPr>
          <w:ilvl w:val="0"/>
          <w:numId w:val="20"/>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20"/>
        <w:numPr>
          <w:ilvl w:val="0"/>
          <w:numId w:val="11"/>
        </w:numPr>
        <w:tabs>
          <w:tab w:val="left" w:pos="284"/>
          <w:tab w:val="left" w:pos="993"/>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本项目不要求投标人(法定代表人或授权委托人)至开标现场参加开标活动。投标人应根据招标文件前附表要求，在规定的时间内将投标文件</w:t>
      </w:r>
      <w:r>
        <w:rPr>
          <w:rFonts w:hint="eastAsia" w:asciiTheme="minorEastAsia" w:hAnsiTheme="minorEastAsia" w:eastAsiaTheme="minorEastAsia"/>
          <w:b/>
          <w:sz w:val="24"/>
          <w:highlight w:val="yellow"/>
          <w:u w:val="single"/>
        </w:rPr>
        <w:t>采用邮寄快递的方式，于开标当日</w:t>
      </w:r>
      <w:r>
        <w:rPr>
          <w:rFonts w:hint="eastAsia" w:asciiTheme="minorEastAsia" w:hAnsiTheme="minorEastAsia" w:eastAsiaTheme="minorEastAsia"/>
          <w:b/>
          <w:sz w:val="24"/>
          <w:highlight w:val="yellow"/>
          <w:u w:val="single"/>
          <w:lang w:val="en-US" w:eastAsia="zh-CN"/>
        </w:rPr>
        <w:t>14:30</w:t>
      </w:r>
      <w:r>
        <w:rPr>
          <w:rFonts w:hint="eastAsia" w:asciiTheme="minorEastAsia" w:hAnsiTheme="minorEastAsia" w:eastAsiaTheme="minorEastAsia"/>
          <w:b/>
          <w:sz w:val="24"/>
          <w:highlight w:val="yellow"/>
          <w:u w:val="single"/>
        </w:rPr>
        <w:t>之前邮寄至浙江省嘉兴市中环南路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，联系人：喻老师，联系电话：0573-82221162。所有未寄达上述指定地点的投标文件，视作投标人主动放弃。</w:t>
      </w:r>
    </w:p>
    <w:p>
      <w:pPr>
        <w:pStyle w:val="20"/>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20"/>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20"/>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20"/>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20"/>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20"/>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20"/>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20"/>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20"/>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20"/>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20"/>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20"/>
        <w:numPr>
          <w:ilvl w:val="0"/>
          <w:numId w:val="23"/>
        </w:numPr>
        <w:tabs>
          <w:tab w:val="left" w:pos="284"/>
          <w:tab w:val="left" w:pos="993"/>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20"/>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20"/>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20"/>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pStyle w:val="15"/>
        <w:ind w:firstLine="480" w:firstLineChars="200"/>
        <w:rPr>
          <w:rFonts w:asciiTheme="minorEastAsia" w:hAnsiTheme="minorEastAsia" w:eastAsiaTheme="minorEastAsia"/>
          <w:b/>
          <w:sz w:val="36"/>
        </w:rPr>
      </w:pPr>
      <w:r>
        <w:rPr>
          <w:rFonts w:hint="eastAsia" w:asciiTheme="minorEastAsia" w:hAnsiTheme="minorEastAsia" w:eastAsiaTheme="minorEastAsia"/>
          <w:sz w:val="24"/>
          <w:szCs w:val="24"/>
          <w:lang w:eastAsia="zh-TW"/>
        </w:rPr>
        <w:t>合同签订后，招标方支付中标方合同总价的</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TW"/>
        </w:rPr>
        <w:t>0%，</w:t>
      </w:r>
      <w:r>
        <w:rPr>
          <w:rFonts w:hint="eastAsia" w:ascii="宋体" w:hAnsi="宋体"/>
          <w:sz w:val="24"/>
          <w:szCs w:val="24"/>
        </w:rPr>
        <w:t>合同执行满一年，考核合格且无售后服务问题，支付剩余合同总金额</w:t>
      </w:r>
      <w:r>
        <w:rPr>
          <w:rFonts w:hint="eastAsia" w:ascii="宋体" w:hAnsi="宋体"/>
          <w:sz w:val="24"/>
          <w:szCs w:val="24"/>
          <w:lang w:val="en-US" w:eastAsia="zh-CN"/>
        </w:rPr>
        <w:t>5</w:t>
      </w:r>
      <w:r>
        <w:rPr>
          <w:rFonts w:hint="eastAsia" w:ascii="宋体" w:hAnsi="宋体"/>
          <w:sz w:val="24"/>
          <w:szCs w:val="24"/>
        </w:rPr>
        <w:t>0%的款项</w:t>
      </w:r>
      <w:r>
        <w:rPr>
          <w:rFonts w:hint="eastAsia" w:asciiTheme="minorEastAsia" w:hAnsiTheme="minorEastAsia" w:eastAsiaTheme="minorEastAsia" w:cstheme="minorEastAsia"/>
          <w:color w:val="000000"/>
          <w:sz w:val="24"/>
          <w:szCs w:val="24"/>
          <w:lang w:eastAsia="zh-TW"/>
        </w:rPr>
        <w:t>。</w:t>
      </w:r>
    </w:p>
    <w:p>
      <w:pPr>
        <w:pStyle w:val="15"/>
        <w:ind w:firstLine="0"/>
        <w:rPr>
          <w:rFonts w:asciiTheme="minorEastAsia" w:hAnsiTheme="minorEastAsia" w:eastAsiaTheme="minorEastAsia"/>
          <w:b/>
          <w:sz w:val="36"/>
        </w:rPr>
      </w:pPr>
    </w:p>
    <w:p>
      <w:pPr>
        <w:pStyle w:val="15"/>
        <w:ind w:firstLine="0"/>
        <w:rPr>
          <w:rFonts w:asciiTheme="minorEastAsia" w:hAnsiTheme="minorEastAsia" w:eastAsiaTheme="minorEastAsia"/>
          <w:b/>
          <w:sz w:val="36"/>
        </w:rPr>
      </w:pPr>
    </w:p>
    <w:p>
      <w:pPr>
        <w:pStyle w:val="15"/>
        <w:ind w:firstLine="0"/>
        <w:rPr>
          <w:rFonts w:asciiTheme="minorEastAsia" w:hAnsiTheme="minorEastAsia" w:eastAsiaTheme="minorEastAsia"/>
          <w:b/>
          <w:sz w:val="36"/>
        </w:rPr>
      </w:pPr>
    </w:p>
    <w:p>
      <w:pPr>
        <w:pStyle w:val="15"/>
        <w:ind w:firstLine="0"/>
        <w:rPr>
          <w:rFonts w:asciiTheme="minorEastAsia" w:hAnsiTheme="minorEastAsia" w:eastAsiaTheme="minorEastAsia"/>
          <w:b/>
          <w:sz w:val="36"/>
        </w:rPr>
      </w:pPr>
    </w:p>
    <w:p>
      <w:pPr>
        <w:pStyle w:val="15"/>
        <w:ind w:firstLine="0"/>
        <w:rPr>
          <w:rFonts w:asciiTheme="minorEastAsia" w:hAnsiTheme="minorEastAsia" w:eastAsiaTheme="minorEastAsia"/>
          <w:b/>
          <w:sz w:val="36"/>
        </w:rPr>
      </w:pPr>
    </w:p>
    <w:p>
      <w:pPr>
        <w:pStyle w:val="15"/>
        <w:ind w:firstLine="0"/>
        <w:rPr>
          <w:rFonts w:asciiTheme="minorEastAsia" w:hAnsiTheme="minorEastAsia" w:eastAsiaTheme="minorEastAsia"/>
          <w:b/>
          <w:sz w:val="36"/>
        </w:rPr>
      </w:pPr>
    </w:p>
    <w:p>
      <w:pPr>
        <w:pStyle w:val="15"/>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20"/>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20"/>
        <w:numPr>
          <w:ilvl w:val="0"/>
          <w:numId w:val="24"/>
        </w:numPr>
        <w:tabs>
          <w:tab w:val="left" w:pos="284"/>
          <w:tab w:val="left" w:pos="993"/>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20"/>
        <w:numPr>
          <w:ilvl w:val="0"/>
          <w:numId w:val="24"/>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20"/>
        <w:numPr>
          <w:ilvl w:val="0"/>
          <w:numId w:val="25"/>
        </w:numPr>
        <w:tabs>
          <w:tab w:val="left" w:pos="284"/>
          <w:tab w:val="left" w:pos="993"/>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2</w:t>
      </w:r>
      <w:r>
        <w:rPr>
          <w:rFonts w:hint="eastAsia" w:asciiTheme="minorEastAsia" w:hAnsiTheme="minorEastAsia"/>
          <w:b/>
          <w:bCs/>
          <w:spacing w:val="-4"/>
        </w:rPr>
        <w:t>0</w:t>
      </w:r>
      <w:r>
        <w:rPr>
          <w:rFonts w:asciiTheme="minorEastAsia" w:hAnsiTheme="minorEastAsia"/>
          <w:b/>
          <w:bCs/>
          <w:spacing w:val="-4"/>
        </w:rPr>
        <w:t>分）</w:t>
      </w:r>
    </w:p>
    <w:p>
      <w:pPr>
        <w:pStyle w:val="20"/>
        <w:numPr>
          <w:ilvl w:val="0"/>
          <w:numId w:val="26"/>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2</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20"/>
        <w:numPr>
          <w:ilvl w:val="0"/>
          <w:numId w:val="26"/>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20"/>
        <w:numPr>
          <w:ilvl w:val="0"/>
          <w:numId w:val="26"/>
        </w:numPr>
        <w:tabs>
          <w:tab w:val="left" w:pos="284"/>
          <w:tab w:val="left" w:pos="993"/>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0"/>
        <w:numPr>
          <w:ilvl w:val="0"/>
          <w:numId w:val="25"/>
        </w:numPr>
        <w:tabs>
          <w:tab w:val="left" w:pos="284"/>
          <w:tab w:val="left" w:pos="993"/>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8</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20"/>
        <w:numPr>
          <w:ilvl w:val="0"/>
          <w:numId w:val="24"/>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评标内容及标准：</w:t>
      </w:r>
    </w:p>
    <w:tbl>
      <w:tblPr>
        <w:tblStyle w:val="12"/>
        <w:tblW w:w="92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2"/>
        <w:gridCol w:w="1395"/>
        <w:gridCol w:w="857"/>
        <w:gridCol w:w="6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02" w:type="dxa"/>
            <w:tcBorders>
              <w:bottom w:val="single" w:color="000000" w:sz="6" w:space="0"/>
            </w:tcBorders>
            <w:vAlign w:val="center"/>
          </w:tcPr>
          <w:p>
            <w:pPr>
              <w:jc w:val="center"/>
              <w:rPr>
                <w:rFonts w:ascii="宋体"/>
                <w:color w:val="000000"/>
                <w:sz w:val="21"/>
                <w:szCs w:val="21"/>
              </w:rPr>
            </w:pPr>
            <w:r>
              <w:rPr>
                <w:rFonts w:hint="eastAsia" w:ascii="宋体"/>
                <w:color w:val="000000"/>
                <w:sz w:val="21"/>
                <w:szCs w:val="21"/>
              </w:rPr>
              <w:t>序号</w:t>
            </w:r>
          </w:p>
        </w:tc>
        <w:tc>
          <w:tcPr>
            <w:tcW w:w="1395" w:type="dxa"/>
            <w:tcBorders>
              <w:bottom w:val="single" w:color="000000" w:sz="6" w:space="0"/>
            </w:tcBorders>
            <w:noWrap/>
            <w:vAlign w:val="center"/>
          </w:tcPr>
          <w:p>
            <w:pPr>
              <w:jc w:val="center"/>
              <w:rPr>
                <w:rFonts w:ascii="宋体"/>
                <w:color w:val="000000"/>
                <w:sz w:val="21"/>
                <w:szCs w:val="21"/>
              </w:rPr>
            </w:pPr>
            <w:r>
              <w:rPr>
                <w:rFonts w:hint="eastAsia" w:ascii="宋体"/>
                <w:color w:val="000000"/>
                <w:sz w:val="21"/>
                <w:szCs w:val="21"/>
              </w:rPr>
              <w:t>评分项目</w:t>
            </w:r>
          </w:p>
        </w:tc>
        <w:tc>
          <w:tcPr>
            <w:tcW w:w="857" w:type="dxa"/>
            <w:tcBorders>
              <w:bottom w:val="single" w:color="000000" w:sz="6" w:space="0"/>
            </w:tcBorders>
            <w:noWrap/>
            <w:vAlign w:val="center"/>
          </w:tcPr>
          <w:p>
            <w:pPr>
              <w:jc w:val="center"/>
              <w:rPr>
                <w:rFonts w:ascii="宋体"/>
                <w:color w:val="000000"/>
                <w:sz w:val="21"/>
                <w:szCs w:val="21"/>
              </w:rPr>
            </w:pPr>
            <w:r>
              <w:rPr>
                <w:rFonts w:hint="eastAsia" w:ascii="宋体"/>
                <w:color w:val="000000"/>
                <w:sz w:val="21"/>
                <w:szCs w:val="21"/>
              </w:rPr>
              <w:t>分值</w:t>
            </w:r>
          </w:p>
        </w:tc>
        <w:tc>
          <w:tcPr>
            <w:tcW w:w="6237" w:type="dxa"/>
            <w:tcBorders>
              <w:bottom w:val="single" w:color="000000" w:sz="6" w:space="0"/>
            </w:tcBorders>
            <w:noWrap/>
            <w:vAlign w:val="center"/>
          </w:tcPr>
          <w:p>
            <w:pPr>
              <w:jc w:val="center"/>
              <w:rPr>
                <w:rFonts w:ascii="宋体"/>
                <w:color w:val="000000"/>
                <w:sz w:val="21"/>
                <w:szCs w:val="21"/>
              </w:rPr>
            </w:pPr>
            <w:r>
              <w:rPr>
                <w:rFonts w:hint="eastAsia" w:ascii="宋体"/>
                <w:color w:val="000000"/>
                <w:sz w:val="21"/>
                <w:szCs w:val="21"/>
              </w:rPr>
              <w:t>评分细则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9" w:hRule="atLeast"/>
          <w:jc w:val="center"/>
        </w:trPr>
        <w:tc>
          <w:tcPr>
            <w:tcW w:w="802" w:type="dxa"/>
            <w:shd w:val="clear" w:color="auto" w:fill="auto"/>
            <w:vAlign w:val="center"/>
          </w:tcPr>
          <w:p>
            <w:pPr>
              <w:jc w:val="center"/>
              <w:textAlignment w:val="center"/>
              <w:rPr>
                <w:rFonts w:ascii="宋体" w:cs="等线"/>
                <w:color w:val="000000"/>
                <w:sz w:val="21"/>
                <w:szCs w:val="21"/>
              </w:rPr>
            </w:pPr>
            <w:bookmarkStart w:id="32" w:name="OLE_LINK1" w:colFirst="2" w:colLast="2"/>
            <w:r>
              <w:rPr>
                <w:rFonts w:hint="eastAsia" w:ascii="宋体" w:cs="等线"/>
                <w:color w:val="000000"/>
                <w:sz w:val="21"/>
                <w:szCs w:val="21"/>
              </w:rPr>
              <w:t>1</w:t>
            </w:r>
          </w:p>
        </w:tc>
        <w:tc>
          <w:tcPr>
            <w:tcW w:w="1395" w:type="dxa"/>
            <w:shd w:val="clear" w:color="auto" w:fill="auto"/>
            <w:noWrap/>
            <w:vAlign w:val="center"/>
          </w:tcPr>
          <w:p>
            <w:pPr>
              <w:jc w:val="center"/>
              <w:textAlignment w:val="center"/>
              <w:rPr>
                <w:rFonts w:ascii="宋体" w:cs="等线"/>
                <w:color w:val="000000"/>
                <w:sz w:val="21"/>
                <w:szCs w:val="21"/>
              </w:rPr>
            </w:pPr>
            <w:r>
              <w:rPr>
                <w:rFonts w:hint="eastAsia" w:ascii="宋体" w:cs="等线"/>
                <w:color w:val="000000"/>
                <w:sz w:val="21"/>
                <w:szCs w:val="21"/>
              </w:rPr>
              <w:t>产品性能、技术指标</w:t>
            </w:r>
          </w:p>
        </w:tc>
        <w:tc>
          <w:tcPr>
            <w:tcW w:w="857" w:type="dxa"/>
            <w:shd w:val="clear" w:color="auto" w:fill="auto"/>
            <w:noWrap/>
            <w:vAlign w:val="center"/>
          </w:tcPr>
          <w:p>
            <w:pPr>
              <w:jc w:val="center"/>
              <w:textAlignment w:val="center"/>
              <w:rPr>
                <w:rFonts w:hint="eastAsia" w:ascii="宋体" w:eastAsia="宋体" w:cs="等线"/>
                <w:color w:val="000000"/>
                <w:sz w:val="21"/>
                <w:szCs w:val="21"/>
                <w:lang w:val="en-US" w:eastAsia="zh-CN"/>
              </w:rPr>
            </w:pPr>
            <w:r>
              <w:rPr>
                <w:rFonts w:hint="eastAsia" w:ascii="宋体" w:cs="等线"/>
                <w:color w:val="000000"/>
                <w:sz w:val="21"/>
                <w:szCs w:val="21"/>
              </w:rPr>
              <w:t>3</w:t>
            </w:r>
            <w:r>
              <w:rPr>
                <w:rFonts w:hint="eastAsia" w:ascii="宋体" w:cs="等线"/>
                <w:color w:val="000000"/>
                <w:sz w:val="21"/>
                <w:szCs w:val="21"/>
                <w:lang w:val="en-US" w:eastAsia="zh-CN"/>
              </w:rPr>
              <w:t>5</w:t>
            </w:r>
          </w:p>
        </w:tc>
        <w:tc>
          <w:tcPr>
            <w:tcW w:w="6237" w:type="dxa"/>
            <w:shd w:val="clear" w:color="auto" w:fill="auto"/>
            <w:noWrap/>
            <w:vAlign w:val="center"/>
          </w:tcPr>
          <w:p>
            <w:pPr>
              <w:textAlignment w:val="center"/>
              <w:rPr>
                <w:rFonts w:ascii="宋体" w:cs="等线"/>
                <w:color w:val="000000"/>
                <w:sz w:val="21"/>
                <w:szCs w:val="21"/>
              </w:rPr>
            </w:pPr>
            <w:r>
              <w:rPr>
                <w:rFonts w:hint="eastAsia" w:ascii="宋体"/>
                <w:sz w:val="21"/>
                <w:szCs w:val="21"/>
              </w:rPr>
              <w:t>投标产品总体性能符合招标文件要求得3</w:t>
            </w:r>
            <w:r>
              <w:rPr>
                <w:rFonts w:hint="eastAsia" w:ascii="宋体"/>
                <w:sz w:val="21"/>
                <w:szCs w:val="21"/>
                <w:lang w:val="en-US" w:eastAsia="zh-CN"/>
              </w:rPr>
              <w:t>5</w:t>
            </w:r>
            <w:r>
              <w:rPr>
                <w:rFonts w:hint="eastAsia" w:ascii="宋体"/>
                <w:sz w:val="21"/>
                <w:szCs w:val="21"/>
              </w:rPr>
              <w:t>分，每项负偏离减1分</w:t>
            </w:r>
            <w:r>
              <w:rPr>
                <w:rFonts w:hint="eastAsia" w:ascii="宋体" w:cs="等线"/>
                <w:color w:val="000000"/>
                <w:sz w:val="21"/>
                <w:szCs w:val="21"/>
              </w:rPr>
              <w:t>，标▲的为重要指标项，需提供产品截图，负偏离或缺漏项的每项减2分，减完为止。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02" w:type="dxa"/>
            <w:vMerge w:val="restart"/>
            <w:vAlign w:val="center"/>
          </w:tcPr>
          <w:p>
            <w:pPr>
              <w:jc w:val="center"/>
              <w:rPr>
                <w:rFonts w:ascii="宋体"/>
                <w:color w:val="000000"/>
                <w:sz w:val="21"/>
                <w:szCs w:val="21"/>
              </w:rPr>
            </w:pPr>
            <w:r>
              <w:rPr>
                <w:rFonts w:ascii="宋体"/>
                <w:color w:val="000000"/>
                <w:sz w:val="21"/>
                <w:szCs w:val="21"/>
              </w:rPr>
              <w:t>2</w:t>
            </w:r>
          </w:p>
        </w:tc>
        <w:tc>
          <w:tcPr>
            <w:tcW w:w="1395" w:type="dxa"/>
            <w:vMerge w:val="restart"/>
            <w:noWrap/>
            <w:vAlign w:val="center"/>
          </w:tcPr>
          <w:p>
            <w:pPr>
              <w:jc w:val="center"/>
              <w:rPr>
                <w:rFonts w:ascii="宋体"/>
                <w:color w:val="000000"/>
                <w:sz w:val="21"/>
                <w:szCs w:val="21"/>
              </w:rPr>
            </w:pPr>
            <w:r>
              <w:rPr>
                <w:rFonts w:hint="eastAsia" w:ascii="宋体"/>
                <w:color w:val="000000"/>
                <w:sz w:val="21"/>
                <w:szCs w:val="21"/>
              </w:rPr>
              <w:t>项目实施方案</w:t>
            </w:r>
          </w:p>
        </w:tc>
        <w:tc>
          <w:tcPr>
            <w:tcW w:w="857" w:type="dxa"/>
            <w:noWrap/>
            <w:vAlign w:val="center"/>
          </w:tcPr>
          <w:p>
            <w:pPr>
              <w:jc w:val="center"/>
              <w:rPr>
                <w:rFonts w:hint="eastAsia" w:ascii="宋体" w:eastAsia="宋体"/>
                <w:color w:val="000000"/>
                <w:sz w:val="21"/>
                <w:szCs w:val="21"/>
                <w:lang w:val="en-US" w:eastAsia="zh-CN"/>
              </w:rPr>
            </w:pPr>
            <w:r>
              <w:rPr>
                <w:rFonts w:hint="eastAsia" w:ascii="宋体"/>
                <w:color w:val="000000"/>
                <w:sz w:val="21"/>
                <w:szCs w:val="21"/>
                <w:lang w:val="en-US" w:eastAsia="zh-CN"/>
              </w:rPr>
              <w:t>4</w:t>
            </w:r>
          </w:p>
        </w:tc>
        <w:tc>
          <w:tcPr>
            <w:tcW w:w="6237" w:type="dxa"/>
            <w:noWrap/>
            <w:vAlign w:val="center"/>
          </w:tcPr>
          <w:p>
            <w:pPr>
              <w:rPr>
                <w:rFonts w:ascii="宋体"/>
                <w:color w:val="000000"/>
                <w:sz w:val="21"/>
                <w:szCs w:val="21"/>
              </w:rPr>
            </w:pPr>
            <w:r>
              <w:rPr>
                <w:rFonts w:hint="eastAsia" w:ascii="宋体"/>
                <w:color w:val="000000"/>
                <w:sz w:val="21"/>
                <w:szCs w:val="21"/>
              </w:rPr>
              <w:t>整体技术方案的可行性及对需求的理解程度及系统总体设计的科学性、先进性等</w:t>
            </w:r>
            <w:r>
              <w:rPr>
                <w:rFonts w:hint="eastAsia" w:ascii="宋体"/>
                <w:sz w:val="21"/>
                <w:szCs w:val="21"/>
              </w:rPr>
              <w:t>方案和措施科学严谨、有效的，得</w:t>
            </w:r>
            <w:r>
              <w:rPr>
                <w:rFonts w:hint="eastAsia" w:ascii="宋体"/>
                <w:sz w:val="21"/>
                <w:szCs w:val="21"/>
                <w:lang w:val="en-US" w:eastAsia="zh-CN"/>
              </w:rPr>
              <w:t>4</w:t>
            </w:r>
            <w:r>
              <w:rPr>
                <w:rFonts w:hint="eastAsia" w:ascii="宋体"/>
                <w:sz w:val="21"/>
                <w:szCs w:val="21"/>
              </w:rPr>
              <w:t>分；</w:t>
            </w:r>
            <w:r>
              <w:rPr>
                <w:rFonts w:hint="eastAsia" w:ascii="宋体"/>
                <w:color w:val="000000"/>
                <w:sz w:val="21"/>
                <w:szCs w:val="21"/>
              </w:rPr>
              <w:t>有所欠缺的每处扣1分，扣完为止。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02" w:type="dxa"/>
            <w:vMerge w:val="continue"/>
            <w:vAlign w:val="center"/>
          </w:tcPr>
          <w:p/>
        </w:tc>
        <w:tc>
          <w:tcPr>
            <w:tcW w:w="1395" w:type="dxa"/>
            <w:vMerge w:val="continue"/>
            <w:noWrap/>
            <w:vAlign w:val="center"/>
          </w:tcPr>
          <w:p/>
        </w:tc>
        <w:tc>
          <w:tcPr>
            <w:tcW w:w="857" w:type="dxa"/>
            <w:noWrap/>
            <w:vAlign w:val="center"/>
          </w:tcPr>
          <w:p>
            <w:pPr>
              <w:jc w:val="center"/>
              <w:rPr>
                <w:rFonts w:ascii="宋体"/>
                <w:color w:val="000000"/>
                <w:sz w:val="21"/>
                <w:szCs w:val="21"/>
              </w:rPr>
            </w:pPr>
            <w:r>
              <w:rPr>
                <w:rFonts w:ascii="宋体"/>
                <w:color w:val="000000"/>
                <w:sz w:val="21"/>
                <w:szCs w:val="21"/>
              </w:rPr>
              <w:t>5</w:t>
            </w:r>
          </w:p>
        </w:tc>
        <w:tc>
          <w:tcPr>
            <w:tcW w:w="6237" w:type="dxa"/>
            <w:noWrap/>
            <w:vAlign w:val="center"/>
          </w:tcPr>
          <w:p>
            <w:pPr>
              <w:rPr>
                <w:rFonts w:ascii="宋体"/>
                <w:color w:val="000000"/>
                <w:sz w:val="21"/>
                <w:szCs w:val="21"/>
              </w:rPr>
            </w:pPr>
            <w:r>
              <w:rPr>
                <w:rFonts w:hint="eastAsia" w:ascii="宋体"/>
                <w:color w:val="000000"/>
                <w:sz w:val="21"/>
                <w:szCs w:val="21"/>
              </w:rPr>
              <w:t>评委对投标人的项目具体实施方案评价，方案的科学性、合理性和针对性以及与采购人项目设计原则和采购需求吻合情况，</w:t>
            </w:r>
            <w:r>
              <w:rPr>
                <w:rFonts w:hint="eastAsia" w:ascii="宋体"/>
                <w:sz w:val="21"/>
                <w:szCs w:val="21"/>
              </w:rPr>
              <w:t>方案和措施科学严谨、有效的，得</w:t>
            </w:r>
            <w:r>
              <w:rPr>
                <w:rFonts w:ascii="宋体"/>
                <w:sz w:val="21"/>
                <w:szCs w:val="21"/>
              </w:rPr>
              <w:t>5</w:t>
            </w:r>
            <w:r>
              <w:rPr>
                <w:rFonts w:hint="eastAsia" w:ascii="宋体"/>
                <w:sz w:val="21"/>
                <w:szCs w:val="21"/>
              </w:rPr>
              <w:t>分；</w:t>
            </w:r>
            <w:r>
              <w:rPr>
                <w:rFonts w:hint="eastAsia" w:ascii="宋体"/>
                <w:color w:val="000000"/>
                <w:sz w:val="21"/>
                <w:szCs w:val="21"/>
              </w:rPr>
              <w:t>有所欠缺的每处扣</w:t>
            </w:r>
            <w:r>
              <w:rPr>
                <w:rFonts w:ascii="宋体"/>
                <w:color w:val="000000"/>
                <w:sz w:val="21"/>
                <w:szCs w:val="21"/>
              </w:rPr>
              <w:t>1</w:t>
            </w:r>
            <w:r>
              <w:rPr>
                <w:rFonts w:hint="eastAsia" w:ascii="宋体"/>
                <w:color w:val="000000"/>
                <w:sz w:val="21"/>
                <w:szCs w:val="21"/>
              </w:rPr>
              <w:t>分，扣完为止。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02" w:type="dxa"/>
            <w:vMerge w:val="continue"/>
            <w:vAlign w:val="center"/>
          </w:tcPr>
          <w:p/>
        </w:tc>
        <w:tc>
          <w:tcPr>
            <w:tcW w:w="1395" w:type="dxa"/>
            <w:vMerge w:val="continue"/>
            <w:noWrap/>
            <w:vAlign w:val="center"/>
          </w:tcPr>
          <w:p/>
        </w:tc>
        <w:tc>
          <w:tcPr>
            <w:tcW w:w="857" w:type="dxa"/>
            <w:noWrap/>
            <w:vAlign w:val="center"/>
          </w:tcPr>
          <w:p>
            <w:pPr>
              <w:jc w:val="center"/>
              <w:rPr>
                <w:rFonts w:ascii="宋体"/>
                <w:color w:val="000000"/>
                <w:sz w:val="21"/>
                <w:szCs w:val="21"/>
              </w:rPr>
            </w:pPr>
            <w:r>
              <w:rPr>
                <w:rFonts w:hint="eastAsia" w:ascii="宋体"/>
                <w:color w:val="000000"/>
                <w:sz w:val="21"/>
                <w:szCs w:val="21"/>
              </w:rPr>
              <w:t>4</w:t>
            </w:r>
          </w:p>
        </w:tc>
        <w:tc>
          <w:tcPr>
            <w:tcW w:w="6237" w:type="dxa"/>
            <w:noWrap/>
            <w:vAlign w:val="center"/>
          </w:tcPr>
          <w:p>
            <w:pPr>
              <w:rPr>
                <w:rFonts w:ascii="宋体"/>
                <w:color w:val="000000"/>
                <w:sz w:val="21"/>
                <w:szCs w:val="21"/>
              </w:rPr>
            </w:pPr>
            <w:r>
              <w:rPr>
                <w:rFonts w:hint="eastAsia"/>
                <w:sz w:val="21"/>
                <w:szCs w:val="21"/>
              </w:rPr>
              <w:t>本项目需集成到阿里巴巴钉钉平台，需提供阿里的合作协议：如阿里钉钉、阿里云；每提供一份得2分，共4分。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02" w:type="dxa"/>
            <w:vMerge w:val="restart"/>
            <w:vAlign w:val="center"/>
          </w:tcPr>
          <w:p>
            <w:pPr>
              <w:jc w:val="center"/>
              <w:rPr>
                <w:rFonts w:ascii="宋体"/>
                <w:color w:val="000000"/>
                <w:sz w:val="21"/>
                <w:szCs w:val="21"/>
              </w:rPr>
            </w:pPr>
            <w:r>
              <w:rPr>
                <w:rFonts w:ascii="宋体"/>
                <w:color w:val="000000"/>
                <w:sz w:val="21"/>
                <w:szCs w:val="21"/>
              </w:rPr>
              <w:t>3</w:t>
            </w:r>
          </w:p>
        </w:tc>
        <w:tc>
          <w:tcPr>
            <w:tcW w:w="1395" w:type="dxa"/>
            <w:vMerge w:val="restart"/>
            <w:noWrap/>
            <w:vAlign w:val="center"/>
          </w:tcPr>
          <w:p>
            <w:pPr>
              <w:jc w:val="center"/>
              <w:rPr>
                <w:rFonts w:ascii="宋体"/>
                <w:color w:val="000000"/>
                <w:sz w:val="21"/>
                <w:szCs w:val="21"/>
              </w:rPr>
            </w:pPr>
            <w:r>
              <w:rPr>
                <w:rFonts w:hint="eastAsia" w:ascii="宋体"/>
                <w:color w:val="000000"/>
                <w:sz w:val="21"/>
                <w:szCs w:val="21"/>
              </w:rPr>
              <w:t>售后服务</w:t>
            </w:r>
          </w:p>
        </w:tc>
        <w:tc>
          <w:tcPr>
            <w:tcW w:w="857" w:type="dxa"/>
            <w:noWrap/>
            <w:vAlign w:val="center"/>
          </w:tcPr>
          <w:p>
            <w:pPr>
              <w:jc w:val="center"/>
              <w:rPr>
                <w:rFonts w:hint="eastAsia" w:ascii="宋体" w:eastAsia="宋体"/>
                <w:color w:val="000000"/>
                <w:sz w:val="21"/>
                <w:szCs w:val="21"/>
                <w:lang w:val="en-US" w:eastAsia="zh-CN"/>
              </w:rPr>
            </w:pPr>
            <w:r>
              <w:rPr>
                <w:rFonts w:hint="eastAsia" w:ascii="宋体"/>
                <w:color w:val="000000"/>
                <w:sz w:val="21"/>
                <w:szCs w:val="21"/>
                <w:lang w:val="en-US" w:eastAsia="zh-CN"/>
              </w:rPr>
              <w:t>4</w:t>
            </w:r>
          </w:p>
        </w:tc>
        <w:tc>
          <w:tcPr>
            <w:tcW w:w="6237" w:type="dxa"/>
            <w:noWrap/>
            <w:vAlign w:val="center"/>
          </w:tcPr>
          <w:p>
            <w:pPr>
              <w:rPr>
                <w:rFonts w:ascii="宋体"/>
                <w:color w:val="000000"/>
                <w:sz w:val="21"/>
                <w:szCs w:val="21"/>
              </w:rPr>
            </w:pPr>
            <w:r>
              <w:rPr>
                <w:rFonts w:hint="eastAsia" w:ascii="宋体"/>
                <w:color w:val="000000"/>
                <w:sz w:val="21"/>
                <w:szCs w:val="21"/>
              </w:rPr>
              <w:t>售后服务方案是否完备，能否满足招标文件要求，根据质保期、质保期后维修服务、故障响应时间是否满足要求及响应程度等综合评分。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02" w:type="dxa"/>
            <w:vMerge w:val="continue"/>
            <w:vAlign w:val="center"/>
          </w:tcPr>
          <w:p/>
        </w:tc>
        <w:tc>
          <w:tcPr>
            <w:tcW w:w="1395" w:type="dxa"/>
            <w:vMerge w:val="continue"/>
            <w:noWrap/>
            <w:vAlign w:val="center"/>
          </w:tcPr>
          <w:p/>
        </w:tc>
        <w:tc>
          <w:tcPr>
            <w:tcW w:w="857" w:type="dxa"/>
            <w:noWrap/>
            <w:vAlign w:val="center"/>
          </w:tcPr>
          <w:p>
            <w:pPr>
              <w:jc w:val="center"/>
              <w:rPr>
                <w:rFonts w:hint="eastAsia" w:ascii="宋体" w:eastAsia="宋体"/>
                <w:color w:val="000000"/>
                <w:sz w:val="21"/>
                <w:szCs w:val="21"/>
                <w:lang w:eastAsia="zh-CN"/>
              </w:rPr>
            </w:pPr>
            <w:r>
              <w:rPr>
                <w:rFonts w:hint="eastAsia" w:ascii="宋体"/>
                <w:color w:val="000000"/>
                <w:sz w:val="21"/>
                <w:szCs w:val="21"/>
                <w:lang w:val="en-US" w:eastAsia="zh-CN"/>
              </w:rPr>
              <w:t>4</w:t>
            </w:r>
          </w:p>
        </w:tc>
        <w:tc>
          <w:tcPr>
            <w:tcW w:w="6237" w:type="dxa"/>
            <w:noWrap/>
            <w:vAlign w:val="center"/>
          </w:tcPr>
          <w:p>
            <w:pPr>
              <w:rPr>
                <w:rFonts w:ascii="宋体"/>
                <w:color w:val="000000"/>
                <w:sz w:val="21"/>
                <w:szCs w:val="21"/>
              </w:rPr>
            </w:pPr>
            <w:r>
              <w:rPr>
                <w:rFonts w:hint="eastAsia" w:ascii="宋体"/>
                <w:sz w:val="21"/>
                <w:szCs w:val="21"/>
              </w:rPr>
              <w:t>投标人满足招标文件质保的基础上每增加1年的加</w:t>
            </w:r>
            <w:r>
              <w:rPr>
                <w:rFonts w:hint="eastAsia" w:ascii="宋体"/>
                <w:sz w:val="21"/>
                <w:szCs w:val="21"/>
                <w:lang w:val="en-US" w:eastAsia="zh-CN"/>
              </w:rPr>
              <w:t>2</w:t>
            </w:r>
            <w:r>
              <w:rPr>
                <w:rFonts w:hint="eastAsia" w:ascii="宋体"/>
                <w:sz w:val="21"/>
                <w:szCs w:val="21"/>
              </w:rPr>
              <w:t>分，最高加</w:t>
            </w:r>
            <w:r>
              <w:rPr>
                <w:rFonts w:hint="eastAsia" w:ascii="宋体"/>
                <w:sz w:val="21"/>
                <w:szCs w:val="21"/>
                <w:lang w:val="en-US" w:eastAsia="zh-CN"/>
              </w:rPr>
              <w:t>4</w:t>
            </w:r>
            <w:r>
              <w:rPr>
                <w:rFonts w:hint="eastAsia" w:ascii="宋体"/>
                <w:sz w:val="21"/>
                <w:szCs w:val="21"/>
              </w:rPr>
              <w:t>分，不足1年的部分不计分。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02" w:type="dxa"/>
            <w:vMerge w:val="continue"/>
            <w:vAlign w:val="center"/>
          </w:tcPr>
          <w:p/>
        </w:tc>
        <w:tc>
          <w:tcPr>
            <w:tcW w:w="1395" w:type="dxa"/>
            <w:vMerge w:val="continue"/>
            <w:noWrap/>
            <w:vAlign w:val="center"/>
          </w:tcPr>
          <w:p/>
        </w:tc>
        <w:tc>
          <w:tcPr>
            <w:tcW w:w="857" w:type="dxa"/>
            <w:noWrap/>
            <w:vAlign w:val="center"/>
          </w:tcPr>
          <w:p>
            <w:pPr>
              <w:jc w:val="center"/>
              <w:rPr>
                <w:rFonts w:hint="eastAsia" w:ascii="宋体" w:eastAsia="宋体"/>
                <w:color w:val="000000"/>
                <w:sz w:val="21"/>
                <w:szCs w:val="21"/>
                <w:lang w:val="en-US" w:eastAsia="zh-CN"/>
              </w:rPr>
            </w:pPr>
            <w:r>
              <w:rPr>
                <w:rFonts w:hint="eastAsia" w:ascii="宋体"/>
                <w:color w:val="000000"/>
                <w:sz w:val="21"/>
                <w:szCs w:val="21"/>
                <w:lang w:val="en-US" w:eastAsia="zh-CN"/>
              </w:rPr>
              <w:t>4</w:t>
            </w:r>
          </w:p>
        </w:tc>
        <w:tc>
          <w:tcPr>
            <w:tcW w:w="6237" w:type="dxa"/>
            <w:noWrap/>
            <w:vAlign w:val="center"/>
          </w:tcPr>
          <w:p>
            <w:pPr>
              <w:rPr>
                <w:rFonts w:ascii="宋体"/>
                <w:sz w:val="21"/>
                <w:szCs w:val="21"/>
              </w:rPr>
            </w:pPr>
            <w:r>
              <w:rPr>
                <w:rFonts w:hint="eastAsia" w:ascii="宋体"/>
                <w:sz w:val="21"/>
                <w:szCs w:val="21"/>
              </w:rPr>
              <w:t>本地化服务：为应对采购人的不时之需，投标人所具备的本地化服务能力和快速服务响应能力，由评委自行打分。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02" w:type="dxa"/>
            <w:vAlign w:val="center"/>
          </w:tcPr>
          <w:p>
            <w:pPr>
              <w:jc w:val="center"/>
              <w:rPr>
                <w:rFonts w:ascii="宋体"/>
                <w:sz w:val="21"/>
                <w:szCs w:val="21"/>
              </w:rPr>
            </w:pPr>
            <w:r>
              <w:rPr>
                <w:rFonts w:ascii="宋体"/>
                <w:sz w:val="21"/>
                <w:szCs w:val="21"/>
              </w:rPr>
              <w:t>4</w:t>
            </w:r>
          </w:p>
        </w:tc>
        <w:tc>
          <w:tcPr>
            <w:tcW w:w="1395" w:type="dxa"/>
            <w:noWrap/>
            <w:vAlign w:val="center"/>
          </w:tcPr>
          <w:p>
            <w:pPr>
              <w:rPr>
                <w:rFonts w:ascii="宋体"/>
                <w:color w:val="000000"/>
                <w:sz w:val="21"/>
                <w:szCs w:val="21"/>
              </w:rPr>
            </w:pPr>
            <w:r>
              <w:rPr>
                <w:rFonts w:hint="eastAsia"/>
                <w:sz w:val="21"/>
                <w:szCs w:val="21"/>
              </w:rPr>
              <w:t>安全隐私保障</w:t>
            </w:r>
          </w:p>
        </w:tc>
        <w:tc>
          <w:tcPr>
            <w:tcW w:w="857" w:type="dxa"/>
            <w:noWrap/>
            <w:vAlign w:val="center"/>
          </w:tcPr>
          <w:p>
            <w:pPr>
              <w:jc w:val="center"/>
              <w:rPr>
                <w:rFonts w:hint="eastAsia" w:ascii="宋体" w:eastAsia="宋体"/>
                <w:color w:val="000000"/>
                <w:sz w:val="21"/>
                <w:szCs w:val="21"/>
                <w:lang w:val="en-US" w:eastAsia="zh-CN"/>
              </w:rPr>
            </w:pPr>
            <w:r>
              <w:rPr>
                <w:rFonts w:hint="eastAsia" w:ascii="宋体"/>
                <w:color w:val="000000"/>
                <w:sz w:val="21"/>
                <w:szCs w:val="21"/>
                <w:lang w:val="en-US" w:eastAsia="zh-CN"/>
              </w:rPr>
              <w:t>4</w:t>
            </w:r>
          </w:p>
        </w:tc>
        <w:tc>
          <w:tcPr>
            <w:tcW w:w="6237" w:type="dxa"/>
            <w:noWrap/>
            <w:vAlign w:val="center"/>
          </w:tcPr>
          <w:p>
            <w:pPr>
              <w:rPr>
                <w:rFonts w:ascii="宋体"/>
                <w:color w:val="000000"/>
                <w:sz w:val="21"/>
                <w:szCs w:val="21"/>
              </w:rPr>
            </w:pPr>
            <w:r>
              <w:rPr>
                <w:rFonts w:hint="eastAsia"/>
                <w:sz w:val="21"/>
                <w:szCs w:val="21"/>
              </w:rPr>
              <w:t>投标人软件符合隐私信息管理能力的，获得由第三方机构出具的相关证书，如ISO27701隐私信息管理体系证书、ISO29100隐私框架管理体系证书、ISO29101隐私结构框架管理体系证书的，每提供1个得</w:t>
            </w:r>
            <w:r>
              <w:rPr>
                <w:rFonts w:hint="eastAsia"/>
                <w:sz w:val="21"/>
                <w:szCs w:val="21"/>
                <w:lang w:val="en-US" w:eastAsia="zh-CN"/>
              </w:rPr>
              <w:t>2</w:t>
            </w:r>
            <w:r>
              <w:rPr>
                <w:rFonts w:hint="eastAsia"/>
                <w:sz w:val="21"/>
                <w:szCs w:val="21"/>
              </w:rPr>
              <w:t>分，本项最高得</w:t>
            </w:r>
            <w:r>
              <w:rPr>
                <w:rFonts w:hint="eastAsia"/>
                <w:sz w:val="21"/>
                <w:szCs w:val="21"/>
                <w:lang w:val="en-US" w:eastAsia="zh-CN"/>
              </w:rPr>
              <w:t>4</w:t>
            </w:r>
            <w:r>
              <w:rPr>
                <w:rFonts w:hint="eastAsia"/>
                <w:sz w:val="21"/>
                <w:szCs w:val="21"/>
              </w:rPr>
              <w:t>分。提供证书复印件并加盖公章。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02" w:type="dxa"/>
            <w:vAlign w:val="center"/>
          </w:tcPr>
          <w:p>
            <w:pPr>
              <w:jc w:val="center"/>
              <w:rPr>
                <w:rFonts w:ascii="宋体"/>
                <w:sz w:val="21"/>
                <w:szCs w:val="21"/>
              </w:rPr>
            </w:pPr>
            <w:r>
              <w:rPr>
                <w:rFonts w:ascii="宋体"/>
                <w:sz w:val="21"/>
                <w:szCs w:val="21"/>
              </w:rPr>
              <w:t>5</w:t>
            </w:r>
          </w:p>
        </w:tc>
        <w:tc>
          <w:tcPr>
            <w:tcW w:w="1395" w:type="dxa"/>
            <w:noWrap/>
            <w:vAlign w:val="center"/>
          </w:tcPr>
          <w:p>
            <w:pPr>
              <w:jc w:val="center"/>
              <w:rPr>
                <w:rFonts w:ascii="宋体"/>
                <w:sz w:val="21"/>
                <w:szCs w:val="21"/>
              </w:rPr>
            </w:pPr>
            <w:r>
              <w:rPr>
                <w:rFonts w:hint="eastAsia" w:ascii="宋体"/>
                <w:color w:val="000000"/>
                <w:sz w:val="21"/>
                <w:szCs w:val="21"/>
              </w:rPr>
              <w:t>业绩</w:t>
            </w:r>
          </w:p>
        </w:tc>
        <w:tc>
          <w:tcPr>
            <w:tcW w:w="857" w:type="dxa"/>
            <w:noWrap/>
            <w:vAlign w:val="center"/>
          </w:tcPr>
          <w:p>
            <w:pPr>
              <w:jc w:val="center"/>
              <w:rPr>
                <w:rFonts w:hint="eastAsia" w:ascii="宋体" w:eastAsia="宋体"/>
                <w:color w:val="000000"/>
                <w:sz w:val="21"/>
                <w:szCs w:val="21"/>
                <w:lang w:eastAsia="zh-CN"/>
              </w:rPr>
            </w:pPr>
            <w:r>
              <w:rPr>
                <w:rFonts w:hint="eastAsia" w:ascii="宋体"/>
                <w:color w:val="000000"/>
                <w:sz w:val="21"/>
                <w:szCs w:val="21"/>
                <w:lang w:val="en-US" w:eastAsia="zh-CN"/>
              </w:rPr>
              <w:t>6</w:t>
            </w:r>
          </w:p>
        </w:tc>
        <w:tc>
          <w:tcPr>
            <w:tcW w:w="6237" w:type="dxa"/>
            <w:noWrap/>
            <w:vAlign w:val="center"/>
          </w:tcPr>
          <w:p>
            <w:pPr>
              <w:rPr>
                <w:rFonts w:ascii="宋体" w:cs="MS Mincho"/>
                <w:color w:val="000000"/>
                <w:sz w:val="21"/>
                <w:szCs w:val="21"/>
              </w:rPr>
            </w:pPr>
            <w:r>
              <w:rPr>
                <w:rFonts w:hint="eastAsia" w:ascii="宋体"/>
                <w:color w:val="000000"/>
                <w:sz w:val="21"/>
                <w:szCs w:val="21"/>
              </w:rPr>
              <w:t>投标人2020年1月1日以来（以签订的合同时间为准），</w:t>
            </w:r>
            <w:r>
              <w:rPr>
                <w:rFonts w:hint="eastAsia" w:ascii="宋体" w:cs="等线"/>
                <w:color w:val="000000"/>
                <w:sz w:val="21"/>
                <w:szCs w:val="21"/>
              </w:rPr>
              <w:t>同类产品服务经验（要求提供的合同与移动办公平台相关）</w:t>
            </w:r>
            <w:r>
              <w:rPr>
                <w:rFonts w:hint="eastAsia" w:ascii="宋体"/>
                <w:color w:val="000000"/>
                <w:sz w:val="21"/>
                <w:szCs w:val="21"/>
              </w:rPr>
              <w:t>每提供一个得</w:t>
            </w:r>
            <w:r>
              <w:rPr>
                <w:rFonts w:hint="eastAsia" w:ascii="宋体"/>
                <w:color w:val="000000"/>
                <w:sz w:val="21"/>
                <w:szCs w:val="21"/>
                <w:lang w:val="en-US" w:eastAsia="zh-CN"/>
              </w:rPr>
              <w:t>2</w:t>
            </w:r>
            <w:r>
              <w:rPr>
                <w:rFonts w:hint="eastAsia" w:ascii="宋体"/>
                <w:color w:val="000000"/>
                <w:sz w:val="21"/>
                <w:szCs w:val="21"/>
              </w:rPr>
              <w:t>分，最多</w:t>
            </w:r>
            <w:r>
              <w:rPr>
                <w:rFonts w:hint="eastAsia" w:ascii="宋体" w:cs="MS Mincho"/>
                <w:color w:val="000000"/>
                <w:sz w:val="21"/>
                <w:szCs w:val="21"/>
              </w:rPr>
              <w:t>得</w:t>
            </w:r>
            <w:r>
              <w:rPr>
                <w:rFonts w:hint="eastAsia" w:ascii="宋体" w:cs="MS Mincho"/>
                <w:color w:val="000000"/>
                <w:sz w:val="21"/>
                <w:szCs w:val="21"/>
                <w:lang w:val="en-US" w:eastAsia="zh-CN"/>
              </w:rPr>
              <w:t>6</w:t>
            </w:r>
            <w:r>
              <w:rPr>
                <w:rFonts w:hint="eastAsia" w:ascii="宋体" w:cs="MS Mincho"/>
                <w:color w:val="000000"/>
                <w:sz w:val="21"/>
                <w:szCs w:val="21"/>
              </w:rPr>
              <w:t>分。</w:t>
            </w:r>
          </w:p>
          <w:p>
            <w:pPr>
              <w:rPr>
                <w:rFonts w:ascii="宋体"/>
                <w:color w:val="000000"/>
                <w:sz w:val="21"/>
                <w:szCs w:val="21"/>
              </w:rPr>
            </w:pPr>
            <w:r>
              <w:rPr>
                <w:rFonts w:hint="eastAsia" w:ascii="宋体"/>
                <w:color w:val="000000"/>
                <w:sz w:val="21"/>
                <w:szCs w:val="21"/>
              </w:rPr>
              <w:t>备注：提供业绩项目的采购合同（或合作协议）复印件，否则不得分。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02" w:type="dxa"/>
            <w:vAlign w:val="center"/>
          </w:tcPr>
          <w:p>
            <w:pPr>
              <w:jc w:val="center"/>
              <w:rPr>
                <w:rFonts w:ascii="宋体"/>
                <w:sz w:val="21"/>
                <w:szCs w:val="21"/>
              </w:rPr>
            </w:pPr>
            <w:r>
              <w:rPr>
                <w:rFonts w:ascii="宋体"/>
                <w:sz w:val="21"/>
                <w:szCs w:val="21"/>
              </w:rPr>
              <w:t>6</w:t>
            </w:r>
          </w:p>
        </w:tc>
        <w:tc>
          <w:tcPr>
            <w:tcW w:w="1395" w:type="dxa"/>
            <w:noWrap/>
            <w:vAlign w:val="center"/>
          </w:tcPr>
          <w:p>
            <w:pPr>
              <w:jc w:val="center"/>
              <w:rPr>
                <w:rFonts w:ascii="宋体"/>
                <w:sz w:val="21"/>
                <w:szCs w:val="21"/>
              </w:rPr>
            </w:pPr>
            <w:r>
              <w:rPr>
                <w:rFonts w:hint="eastAsia" w:ascii="宋体"/>
                <w:sz w:val="21"/>
                <w:szCs w:val="21"/>
              </w:rPr>
              <w:t>投标人资信</w:t>
            </w:r>
          </w:p>
        </w:tc>
        <w:tc>
          <w:tcPr>
            <w:tcW w:w="857" w:type="dxa"/>
            <w:noWrap/>
            <w:vAlign w:val="center"/>
          </w:tcPr>
          <w:p>
            <w:pPr>
              <w:jc w:val="center"/>
              <w:rPr>
                <w:rFonts w:hint="eastAsia" w:ascii="宋体" w:eastAsia="宋体"/>
                <w:bCs/>
                <w:color w:val="000000"/>
                <w:sz w:val="21"/>
                <w:szCs w:val="21"/>
                <w:lang w:eastAsia="zh-CN"/>
              </w:rPr>
            </w:pPr>
            <w:r>
              <w:rPr>
                <w:rFonts w:hint="eastAsia" w:ascii="宋体"/>
                <w:bCs/>
                <w:color w:val="000000"/>
                <w:sz w:val="21"/>
                <w:szCs w:val="21"/>
                <w:lang w:val="en-US" w:eastAsia="zh-CN"/>
              </w:rPr>
              <w:t>5</w:t>
            </w:r>
          </w:p>
        </w:tc>
        <w:tc>
          <w:tcPr>
            <w:tcW w:w="6237" w:type="dxa"/>
            <w:noWrap/>
            <w:vAlign w:val="center"/>
          </w:tcPr>
          <w:p>
            <w:pPr>
              <w:numPr>
                <w:ilvl w:val="0"/>
                <w:numId w:val="27"/>
              </w:numPr>
              <w:rPr>
                <w:rFonts w:hint="eastAsia" w:ascii="宋体"/>
                <w:color w:val="000000"/>
                <w:sz w:val="21"/>
                <w:szCs w:val="21"/>
              </w:rPr>
            </w:pPr>
            <w:r>
              <w:rPr>
                <w:rFonts w:hint="eastAsia" w:ascii="宋体"/>
                <w:color w:val="000000"/>
                <w:sz w:val="21"/>
                <w:szCs w:val="21"/>
              </w:rPr>
              <w:t>投标人具有ISO9001质量管理体系认证证书，得1分，没有不得分。</w:t>
            </w:r>
          </w:p>
          <w:p>
            <w:pPr>
              <w:numPr>
                <w:ilvl w:val="0"/>
                <w:numId w:val="27"/>
              </w:numPr>
              <w:rPr>
                <w:rFonts w:ascii="宋体"/>
                <w:color w:val="000000"/>
                <w:sz w:val="21"/>
                <w:szCs w:val="21"/>
              </w:rPr>
            </w:pPr>
            <w:r>
              <w:rPr>
                <w:rFonts w:hint="eastAsia" w:ascii="宋体"/>
                <w:color w:val="000000"/>
                <w:sz w:val="21"/>
                <w:szCs w:val="21"/>
              </w:rPr>
              <w:t>投标人具有ISO20000服务管理体系认证证书，得1分，没有不得分。</w:t>
            </w:r>
          </w:p>
          <w:p>
            <w:pPr>
              <w:numPr>
                <w:ilvl w:val="0"/>
                <w:numId w:val="27"/>
              </w:numPr>
            </w:pPr>
            <w:r>
              <w:rPr>
                <w:rFonts w:hint="eastAsia" w:ascii="宋体"/>
                <w:color w:val="000000"/>
                <w:sz w:val="21"/>
                <w:szCs w:val="21"/>
              </w:rPr>
              <w:t>投标人具有软件企业认定证书，得1分，没有不得分。</w:t>
            </w:r>
          </w:p>
          <w:p>
            <w:pPr>
              <w:numPr>
                <w:ilvl w:val="0"/>
                <w:numId w:val="27"/>
              </w:numPr>
              <w:rPr>
                <w:rFonts w:ascii="宋体"/>
                <w:color w:val="000000"/>
                <w:sz w:val="21"/>
                <w:szCs w:val="21"/>
              </w:rPr>
            </w:pPr>
            <w:r>
              <w:rPr>
                <w:rFonts w:hint="eastAsia" w:ascii="宋体"/>
                <w:color w:val="000000"/>
                <w:sz w:val="21"/>
                <w:szCs w:val="21"/>
              </w:rPr>
              <w:t>投标人具有ISO27001信息安全管理体系认证证书，得1分，没有不得分。</w:t>
            </w:r>
          </w:p>
          <w:p>
            <w:pPr>
              <w:numPr>
                <w:ilvl w:val="0"/>
                <w:numId w:val="27"/>
              </w:numPr>
            </w:pPr>
            <w:r>
              <w:rPr>
                <w:rFonts w:hint="eastAsia" w:ascii="宋体"/>
                <w:color w:val="000000"/>
                <w:sz w:val="21"/>
                <w:szCs w:val="21"/>
              </w:rPr>
              <w:t>投标人具有信息系统集成及服务资质，投标人得1分，没有不得分</w:t>
            </w:r>
          </w:p>
          <w:p>
            <w:pPr>
              <w:rPr>
                <w:rFonts w:ascii="宋体"/>
                <w:color w:val="000000"/>
                <w:sz w:val="21"/>
                <w:szCs w:val="21"/>
              </w:rPr>
            </w:pPr>
            <w:r>
              <w:rPr>
                <w:rFonts w:hint="eastAsia" w:ascii="宋体"/>
                <w:color w:val="000000"/>
                <w:sz w:val="21"/>
                <w:szCs w:val="21"/>
              </w:rPr>
              <w:t>（要求的相关资质证书都必须提供资质证书复印件加盖公章，并保证证书编号等重要元素清晰可见，否则不予认可）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02" w:type="dxa"/>
            <w:vAlign w:val="center"/>
          </w:tcPr>
          <w:p>
            <w:pPr>
              <w:jc w:val="center"/>
              <w:rPr>
                <w:rFonts w:ascii="宋体"/>
                <w:sz w:val="21"/>
                <w:szCs w:val="21"/>
              </w:rPr>
            </w:pPr>
            <w:r>
              <w:rPr>
                <w:rFonts w:ascii="宋体"/>
                <w:sz w:val="21"/>
                <w:szCs w:val="21"/>
              </w:rPr>
              <w:t>7</w:t>
            </w:r>
          </w:p>
        </w:tc>
        <w:tc>
          <w:tcPr>
            <w:tcW w:w="1395" w:type="dxa"/>
            <w:noWrap/>
            <w:vAlign w:val="center"/>
          </w:tcPr>
          <w:p>
            <w:pPr>
              <w:jc w:val="center"/>
              <w:rPr>
                <w:rFonts w:ascii="宋体"/>
                <w:sz w:val="21"/>
                <w:szCs w:val="21"/>
              </w:rPr>
            </w:pPr>
            <w:r>
              <w:rPr>
                <w:rFonts w:hint="eastAsia" w:ascii="宋体"/>
                <w:sz w:val="21"/>
                <w:szCs w:val="21"/>
              </w:rPr>
              <w:t>项目相关产品及资质</w:t>
            </w:r>
          </w:p>
        </w:tc>
        <w:tc>
          <w:tcPr>
            <w:tcW w:w="857" w:type="dxa"/>
            <w:noWrap/>
            <w:vAlign w:val="center"/>
          </w:tcPr>
          <w:p>
            <w:pPr>
              <w:jc w:val="center"/>
              <w:rPr>
                <w:rFonts w:hint="eastAsia" w:ascii="宋体" w:eastAsia="宋体"/>
                <w:bCs/>
                <w:color w:val="000000"/>
                <w:sz w:val="21"/>
                <w:szCs w:val="21"/>
                <w:lang w:val="en-US" w:eastAsia="zh-CN"/>
              </w:rPr>
            </w:pPr>
            <w:r>
              <w:rPr>
                <w:rFonts w:hint="eastAsia" w:ascii="宋体"/>
                <w:bCs/>
                <w:color w:val="000000"/>
                <w:sz w:val="21"/>
                <w:szCs w:val="21"/>
                <w:lang w:val="en-US" w:eastAsia="zh-CN"/>
              </w:rPr>
              <w:t>5</w:t>
            </w:r>
          </w:p>
        </w:tc>
        <w:tc>
          <w:tcPr>
            <w:tcW w:w="6237" w:type="dxa"/>
            <w:noWrap/>
            <w:vAlign w:val="center"/>
          </w:tcPr>
          <w:p>
            <w:pPr>
              <w:numPr>
                <w:ilvl w:val="0"/>
                <w:numId w:val="28"/>
              </w:numPr>
              <w:rPr>
                <w:rFonts w:hint="eastAsia" w:ascii="宋体"/>
                <w:color w:val="000000"/>
                <w:sz w:val="21"/>
                <w:szCs w:val="21"/>
              </w:rPr>
            </w:pPr>
            <w:r>
              <w:rPr>
                <w:rFonts w:hint="eastAsia" w:ascii="宋体"/>
                <w:color w:val="000000"/>
                <w:sz w:val="21"/>
                <w:szCs w:val="21"/>
              </w:rPr>
              <w:t>本项目相关产品具有移动办公平台系统软件著作权；有得1分，没有不得分。</w:t>
            </w:r>
          </w:p>
          <w:p>
            <w:pPr>
              <w:numPr>
                <w:ilvl w:val="0"/>
                <w:numId w:val="28"/>
              </w:numPr>
              <w:ind w:left="0" w:leftChars="0" w:firstLine="0" w:firstLineChars="0"/>
              <w:rPr>
                <w:rFonts w:hint="eastAsia" w:ascii="宋体"/>
                <w:color w:val="000000"/>
                <w:sz w:val="21"/>
                <w:szCs w:val="21"/>
              </w:rPr>
            </w:pPr>
            <w:r>
              <w:rPr>
                <w:rFonts w:hint="eastAsia" w:ascii="宋体"/>
                <w:color w:val="000000"/>
                <w:sz w:val="21"/>
                <w:szCs w:val="21"/>
              </w:rPr>
              <w:t>本项目相关产品具有医疗互联互通标准服务平台</w:t>
            </w:r>
            <w:r>
              <w:rPr>
                <w:rFonts w:hint="eastAsia" w:ascii="宋体"/>
                <w:sz w:val="21"/>
                <w:szCs w:val="21"/>
              </w:rPr>
              <w:t>软件著作权</w:t>
            </w:r>
            <w:r>
              <w:rPr>
                <w:rFonts w:hint="eastAsia" w:ascii="宋体"/>
                <w:color w:val="000000"/>
                <w:sz w:val="21"/>
                <w:szCs w:val="21"/>
              </w:rPr>
              <w:t>；有得1分，没有不得分。</w:t>
            </w:r>
          </w:p>
          <w:p>
            <w:pPr>
              <w:numPr>
                <w:ilvl w:val="0"/>
                <w:numId w:val="28"/>
              </w:numPr>
              <w:ind w:left="0" w:leftChars="0" w:firstLine="0" w:firstLineChars="0"/>
              <w:rPr>
                <w:rFonts w:hint="eastAsia"/>
                <w:lang w:val="en-US" w:eastAsia="zh-CN"/>
              </w:rPr>
            </w:pPr>
            <w:r>
              <w:rPr>
                <w:rFonts w:hint="eastAsia" w:ascii="宋体"/>
                <w:color w:val="000000"/>
                <w:sz w:val="21"/>
                <w:szCs w:val="21"/>
              </w:rPr>
              <w:t>本项目相关产品具有</w:t>
            </w:r>
            <w:r>
              <w:rPr>
                <w:rFonts w:hint="eastAsia" w:ascii="宋体"/>
                <w:sz w:val="21"/>
                <w:szCs w:val="21"/>
              </w:rPr>
              <w:t>医院等级评审管理平台软件著作权</w:t>
            </w:r>
            <w:r>
              <w:rPr>
                <w:rFonts w:hint="eastAsia" w:ascii="宋体"/>
                <w:color w:val="000000"/>
                <w:sz w:val="21"/>
                <w:szCs w:val="21"/>
              </w:rPr>
              <w:t>；有得1分，没有不得分。</w:t>
            </w:r>
          </w:p>
          <w:p>
            <w:pPr>
              <w:numPr>
                <w:ilvl w:val="0"/>
                <w:numId w:val="28"/>
              </w:numPr>
              <w:ind w:left="0" w:leftChars="0" w:firstLine="0" w:firstLineChars="0"/>
              <w:rPr>
                <w:rFonts w:ascii="宋体"/>
                <w:color w:val="000000"/>
                <w:sz w:val="21"/>
                <w:szCs w:val="21"/>
              </w:rPr>
            </w:pPr>
            <w:r>
              <w:rPr>
                <w:rFonts w:hint="eastAsia" w:ascii="宋体"/>
                <w:color w:val="000000"/>
                <w:sz w:val="21"/>
                <w:szCs w:val="21"/>
              </w:rPr>
              <w:t>本项目相关产品具有</w:t>
            </w:r>
            <w:r>
              <w:rPr>
                <w:rFonts w:hint="eastAsia" w:ascii="宋体"/>
                <w:sz w:val="21"/>
                <w:szCs w:val="21"/>
              </w:rPr>
              <w:t>数据信息交换平台软件著作权</w:t>
            </w:r>
            <w:r>
              <w:rPr>
                <w:rFonts w:hint="eastAsia" w:ascii="宋体"/>
                <w:color w:val="000000"/>
                <w:sz w:val="21"/>
                <w:szCs w:val="21"/>
              </w:rPr>
              <w:t>；有得1分，没有不得分。</w:t>
            </w:r>
          </w:p>
          <w:p>
            <w:pPr>
              <w:rPr>
                <w:rFonts w:ascii="宋体"/>
                <w:color w:val="000000"/>
                <w:sz w:val="21"/>
                <w:szCs w:val="21"/>
              </w:rPr>
            </w:pPr>
            <w:r>
              <w:rPr>
                <w:rFonts w:hint="eastAsia" w:ascii="宋体"/>
                <w:color w:val="000000"/>
                <w:sz w:val="21"/>
                <w:szCs w:val="21"/>
                <w:lang w:val="en-US" w:eastAsia="zh-CN"/>
              </w:rPr>
              <w:t>5、</w:t>
            </w:r>
            <w:r>
              <w:rPr>
                <w:rFonts w:hint="eastAsia" w:ascii="宋体"/>
                <w:color w:val="000000"/>
                <w:sz w:val="21"/>
                <w:szCs w:val="21"/>
              </w:rPr>
              <w:t>本项目相关产品具有</w:t>
            </w:r>
            <w:r>
              <w:rPr>
                <w:rFonts w:hint="eastAsia" w:ascii="宋体"/>
                <w:sz w:val="21"/>
                <w:szCs w:val="21"/>
              </w:rPr>
              <w:t>医院综合运营管理系统软件著作权</w:t>
            </w:r>
            <w:r>
              <w:rPr>
                <w:rFonts w:hint="eastAsia" w:ascii="宋体"/>
                <w:color w:val="000000"/>
                <w:sz w:val="21"/>
                <w:szCs w:val="21"/>
              </w:rPr>
              <w:t>；有得1分，没有不得分。</w:t>
            </w:r>
          </w:p>
          <w:p>
            <w:pPr>
              <w:numPr>
                <w:ilvl w:val="0"/>
                <w:numId w:val="0"/>
              </w:numPr>
              <w:ind w:leftChars="0"/>
              <w:rPr>
                <w:rFonts w:ascii="宋体"/>
                <w:color w:val="000000"/>
                <w:sz w:val="21"/>
                <w:szCs w:val="21"/>
              </w:rPr>
            </w:pPr>
            <w:r>
              <w:rPr>
                <w:rFonts w:hint="eastAsia" w:ascii="宋体"/>
                <w:color w:val="000000"/>
                <w:sz w:val="21"/>
                <w:szCs w:val="21"/>
              </w:rPr>
              <w:t>（相关资质证书都必须提供资质证书复印件加盖公章，并保证证书编号等重要元素清晰可见，否则不予认可）</w:t>
            </w:r>
          </w:p>
        </w:tc>
      </w:tr>
      <w:bookmarkEnd w:id="32"/>
    </w:tbl>
    <w:p>
      <w:pPr>
        <w:pStyle w:val="15"/>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、招标内容及商务技术要求</w:t>
      </w:r>
      <w:r>
        <w:rPr>
          <w:rFonts w:hint="eastAsia" w:asciiTheme="minorEastAsia" w:hAnsiTheme="minorEastAsia" w:eastAsiaTheme="minorEastAsia"/>
          <w:b/>
          <w:sz w:val="30"/>
          <w:szCs w:val="30"/>
        </w:rPr>
        <w:t>：</w:t>
      </w:r>
    </w:p>
    <w:p>
      <w:pPr>
        <w:widowControl/>
        <w:tabs>
          <w:tab w:val="left" w:pos="284"/>
          <w:tab w:val="left" w:pos="993"/>
        </w:tabs>
        <w:snapToGrid w:val="0"/>
        <w:spacing w:line="360" w:lineRule="auto"/>
        <w:ind w:firstLine="482" w:firstLineChars="200"/>
        <w:rPr>
          <w:rFonts w:hint="eastAsia" w:cs="Times New Roman" w:asciiTheme="minorEastAsia" w:hAnsiTheme="minorEastAsia" w:eastAsiaTheme="minorEastAsia"/>
          <w:sz w:val="24"/>
          <w:szCs w:val="24"/>
          <w:lang w:val="en-US" w:eastAsia="zh-CN"/>
        </w:rPr>
      </w:pPr>
      <w:r>
        <w:rPr>
          <w:rFonts w:hint="eastAsia" w:asciiTheme="minorEastAsia" w:hAnsiTheme="minorEastAsia" w:eastAsiaTheme="minorEastAsia"/>
          <w:b/>
          <w:color w:val="000000"/>
          <w:sz w:val="24"/>
          <w:szCs w:val="24"/>
        </w:rPr>
        <w:t>1、</w:t>
      </w:r>
      <w:r>
        <w:rPr>
          <w:rFonts w:hint="eastAsia" w:asciiTheme="minorEastAsia" w:hAnsiTheme="minorEastAsia" w:eastAsiaTheme="minorEastAsia"/>
          <w:b/>
          <w:color w:val="000000"/>
          <w:sz w:val="24"/>
          <w:szCs w:val="24"/>
          <w:lang w:val="en-US" w:eastAsia="zh-CN"/>
        </w:rPr>
        <w:t>项目背景</w:t>
      </w:r>
      <w:r>
        <w:rPr>
          <w:rFonts w:hint="eastAsia" w:asciiTheme="minorEastAsia" w:hAnsiTheme="minorEastAsia" w:eastAsiaTheme="minorEastAsia"/>
          <w:b/>
          <w:color w:val="000000"/>
          <w:sz w:val="24"/>
          <w:szCs w:val="24"/>
          <w:lang w:eastAsia="zh-CN"/>
        </w:rPr>
        <w:t>：</w:t>
      </w:r>
      <w:r>
        <w:rPr>
          <w:rFonts w:hint="eastAsia" w:cs="Times New Roman" w:asciiTheme="minorEastAsia" w:hAnsiTheme="minorEastAsia" w:eastAsiaTheme="minorEastAsia"/>
          <w:sz w:val="24"/>
          <w:szCs w:val="24"/>
          <w:lang w:val="en-US" w:eastAsia="zh-CN"/>
        </w:rPr>
        <w:t>结合《关于加强公立医院运营管理的指导意见》（国卫财务发〔2020〕27号）有关要求，结合实际，配套研究制定公立医院运营管理信息系统功能指引，确定了公立医院运营管理信息系统功能框架及业务功能要求，以提供各公立医院参考使用，医院可结合自身情况，科学规范、统筹推进运营管理信息系统建设及运营管理工作。为加快补齐公立医院内部运营管理短板和弱项，扭转重资源获取轻资源配置、重临床服务轻运营管理的倾向，推进业务活动与经济管理深度融合，提升医院精细化运营管理水平，向强化内部管理要效益。</w:t>
      </w:r>
    </w:p>
    <w:p>
      <w:pPr>
        <w:widowControl/>
        <w:tabs>
          <w:tab w:val="left" w:pos="284"/>
          <w:tab w:val="left" w:pos="993"/>
        </w:tabs>
        <w:snapToGrid w:val="0"/>
        <w:spacing w:line="360" w:lineRule="auto"/>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为落实《关于进一步加强智慧医院建设的通知》（国卫办医函〔2020〕405号）有关要求，指导医疗机构科学、规范开展智慧医院建设，提升医院管理精细化、智能化水平，国家卫健委组织制定了《医院智慧管理分级评估标准体系（试行）》。医院智慧管理是“三位一体”智慧医院建设的重要组成部分。为指导各地、各医院加强智慧医院建设的顶层设计，充分利用智慧管理工具，提升医院管理精细化、智能化水平，特制定医院智慧管理分级评估标准体系。建立分级评估标准体系的目的：</w:t>
      </w:r>
    </w:p>
    <w:p>
      <w:pPr>
        <w:widowControl/>
        <w:tabs>
          <w:tab w:val="left" w:pos="284"/>
          <w:tab w:val="left" w:pos="993"/>
        </w:tabs>
        <w:snapToGrid w:val="0"/>
        <w:spacing w:line="360" w:lineRule="auto"/>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1.明确医院智慧管理各级别实现的功能，为医院加强智慧管理相关工作提供参照。</w:t>
      </w:r>
    </w:p>
    <w:p>
      <w:pPr>
        <w:widowControl/>
        <w:tabs>
          <w:tab w:val="left" w:pos="284"/>
          <w:tab w:val="left" w:pos="993"/>
        </w:tabs>
        <w:snapToGrid w:val="0"/>
        <w:spacing w:line="360" w:lineRule="auto"/>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2.指导各地、各医院评估医院智慧管理建设发展现状，建立医院智慧管理持续改进体系。</w:t>
      </w:r>
    </w:p>
    <w:p>
      <w:pPr>
        <w:widowControl/>
        <w:tabs>
          <w:tab w:val="left" w:pos="284"/>
          <w:tab w:val="left" w:pos="993"/>
        </w:tabs>
        <w:snapToGrid w:val="0"/>
        <w:spacing w:line="360" w:lineRule="auto"/>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3.完善“三位一体”智慧医院建设的顶层设计，使之成为提升医院现代化管理水平的有效工具。</w:t>
      </w:r>
    </w:p>
    <w:p>
      <w:pPr>
        <w:widowControl/>
        <w:tabs>
          <w:tab w:val="left" w:pos="284"/>
          <w:tab w:val="left" w:pos="993"/>
        </w:tabs>
        <w:snapToGrid w:val="0"/>
        <w:spacing w:line="360" w:lineRule="auto"/>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对照医院智慧管理分级评估标准和公立医院运营管理标准的总体要求，结合我院管理系统的现状，规划和实施建设我院智慧管理平台的工作，对提升管理精细化、智能化水平意义重大。</w:t>
      </w:r>
    </w:p>
    <w:p>
      <w:pPr>
        <w:shd w:val="clear" w:color="auto" w:fill="FFFFFF"/>
        <w:spacing w:line="360" w:lineRule="auto"/>
        <w:ind w:firstLine="361" w:firstLineChars="150"/>
        <w:rPr>
          <w:rFonts w:hint="default" w:asciiTheme="minorEastAsia" w:hAnsiTheme="minorEastAsia" w:eastAsiaTheme="minorEastAsia"/>
          <w:b/>
          <w:color w:val="000000"/>
          <w:sz w:val="24"/>
          <w:szCs w:val="24"/>
          <w:lang w:val="en-US"/>
        </w:rPr>
      </w:pPr>
      <w:r>
        <w:rPr>
          <w:rFonts w:hint="eastAsia" w:asciiTheme="minorEastAsia" w:hAnsiTheme="minorEastAsia" w:eastAsiaTheme="minorEastAsia"/>
          <w:b/>
          <w:color w:val="000000"/>
          <w:sz w:val="24"/>
          <w:szCs w:val="24"/>
        </w:rPr>
        <w:t>2、</w:t>
      </w:r>
      <w:r>
        <w:rPr>
          <w:rFonts w:hint="eastAsia" w:asciiTheme="minorEastAsia" w:hAnsiTheme="minorEastAsia" w:eastAsiaTheme="minorEastAsia"/>
          <w:b/>
          <w:color w:val="000000"/>
          <w:sz w:val="24"/>
          <w:szCs w:val="24"/>
          <w:lang w:val="en-US" w:eastAsia="zh-CN"/>
        </w:rPr>
        <w:t>采购内容</w:t>
      </w:r>
    </w:p>
    <w:tbl>
      <w:tblPr>
        <w:tblStyle w:val="12"/>
        <w:tblW w:w="963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75"/>
        <w:gridCol w:w="73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6" w:hRule="atLeast"/>
          <w:tblHeader/>
          <w:jc w:val="center"/>
        </w:trPr>
        <w:tc>
          <w:tcPr>
            <w:tcW w:w="7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黑体"/>
                <w:b/>
                <w:sz w:val="22"/>
                <w:szCs w:val="22"/>
              </w:rPr>
            </w:pPr>
            <w:r>
              <w:rPr>
                <w:rFonts w:hint="eastAsia" w:ascii="宋体" w:cs="黑体"/>
                <w:b/>
                <w:sz w:val="22"/>
                <w:szCs w:val="22"/>
              </w:rPr>
              <w:t>序号</w:t>
            </w: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黑体"/>
                <w:b/>
                <w:sz w:val="22"/>
                <w:szCs w:val="22"/>
              </w:rPr>
            </w:pPr>
            <w:r>
              <w:rPr>
                <w:rFonts w:hint="eastAsia" w:ascii="宋体" w:cs="黑体"/>
                <w:b/>
                <w:sz w:val="22"/>
                <w:szCs w:val="22"/>
              </w:rPr>
              <w:t>名  称</w:t>
            </w:r>
          </w:p>
        </w:tc>
        <w:tc>
          <w:tcPr>
            <w:tcW w:w="73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黑体"/>
                <w:b/>
                <w:sz w:val="22"/>
                <w:szCs w:val="22"/>
              </w:rPr>
            </w:pPr>
            <w:r>
              <w:rPr>
                <w:rFonts w:hint="eastAsia" w:ascii="宋体" w:cs="黑体"/>
                <w:b/>
                <w:sz w:val="22"/>
                <w:szCs w:val="22"/>
              </w:rPr>
              <w:t>技术要求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黑体"/>
                <w:sz w:val="22"/>
                <w:szCs w:val="22"/>
              </w:rPr>
            </w:pPr>
            <w:r>
              <w:rPr>
                <w:rFonts w:hint="eastAsia" w:ascii="宋体" w:cs="黑体"/>
                <w:sz w:val="22"/>
                <w:szCs w:val="22"/>
              </w:rPr>
              <w:t>1</w:t>
            </w: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黑体"/>
                <w:sz w:val="22"/>
                <w:szCs w:val="22"/>
              </w:rPr>
            </w:pPr>
            <w:r>
              <w:rPr>
                <w:rFonts w:hint="eastAsia" w:ascii="宋体" w:cs="黑体"/>
                <w:sz w:val="22"/>
                <w:szCs w:val="22"/>
              </w:rPr>
              <w:t>会议管理</w:t>
            </w:r>
          </w:p>
        </w:tc>
        <w:tc>
          <w:tcPr>
            <w:tcW w:w="7316" w:type="dxa"/>
            <w:tcBorders>
              <w:top w:val="single" w:color="auto" w:sz="4" w:space="0"/>
              <w:left w:val="single" w:color="auto" w:sz="4" w:space="0"/>
              <w:bottom w:val="single" w:color="auto" w:sz="4" w:space="0"/>
              <w:right w:val="single" w:color="auto" w:sz="4" w:space="0"/>
            </w:tcBorders>
            <w:noWrap/>
            <w:vAlign w:val="center"/>
          </w:tcPr>
          <w:p>
            <w:pPr>
              <w:textAlignment w:val="center"/>
              <w:rPr>
                <w:rFonts w:ascii="宋体"/>
                <w:sz w:val="22"/>
                <w:szCs w:val="22"/>
              </w:rPr>
            </w:pPr>
            <w:r>
              <w:rPr>
                <w:rFonts w:hint="eastAsia" w:ascii="宋体"/>
                <w:sz w:val="22"/>
                <w:szCs w:val="22"/>
              </w:rPr>
              <w:t>会前：会议室预约、会议预约、会议审批、会议通知、会议签到</w:t>
            </w:r>
          </w:p>
          <w:p>
            <w:pPr>
              <w:textAlignment w:val="center"/>
              <w:rPr>
                <w:rFonts w:ascii="宋体"/>
                <w:sz w:val="22"/>
                <w:szCs w:val="22"/>
              </w:rPr>
            </w:pPr>
            <w:r>
              <w:rPr>
                <w:rFonts w:hint="eastAsia" w:ascii="宋体"/>
                <w:sz w:val="22"/>
                <w:szCs w:val="22"/>
              </w:rPr>
              <w:t>会中：会议纪要（可语音转文字）、会议附件上传、会议任务指派</w:t>
            </w:r>
          </w:p>
          <w:p>
            <w:pPr>
              <w:textAlignment w:val="center"/>
              <w:rPr>
                <w:rFonts w:ascii="宋体"/>
                <w:sz w:val="22"/>
                <w:szCs w:val="22"/>
              </w:rPr>
            </w:pPr>
            <w:r>
              <w:rPr>
                <w:rFonts w:hint="eastAsia" w:ascii="宋体"/>
                <w:sz w:val="22"/>
                <w:szCs w:val="22"/>
              </w:rPr>
              <w:t>会后：会议签退、任务执行、任务留言、任务关闭</w:t>
            </w:r>
          </w:p>
          <w:p>
            <w:pPr>
              <w:textAlignment w:val="center"/>
              <w:rPr>
                <w:rFonts w:ascii="宋体"/>
                <w:sz w:val="22"/>
                <w:szCs w:val="22"/>
              </w:rPr>
            </w:pPr>
            <w:r>
              <w:rPr>
                <w:rFonts w:hint="eastAsia" w:ascii="宋体"/>
                <w:sz w:val="22"/>
                <w:szCs w:val="22"/>
              </w:rPr>
              <w:t>会议模版：固定会议或会议室用于常用的周期性会议</w:t>
            </w:r>
          </w:p>
          <w:p>
            <w:pPr>
              <w:textAlignment w:val="center"/>
              <w:rPr>
                <w:rFonts w:ascii="宋体"/>
                <w:sz w:val="22"/>
                <w:szCs w:val="22"/>
              </w:rPr>
            </w:pPr>
            <w:r>
              <w:rPr>
                <w:rFonts w:hint="eastAsia" w:ascii="宋体"/>
                <w:color w:val="000000"/>
                <w:sz w:val="22"/>
                <w:szCs w:val="22"/>
              </w:rPr>
              <w:t>▲</w:t>
            </w:r>
            <w:r>
              <w:rPr>
                <w:rFonts w:hint="eastAsia" w:ascii="宋体"/>
                <w:sz w:val="22"/>
                <w:szCs w:val="22"/>
              </w:rPr>
              <w:t>统计导出：规定时间段内，以参会人员、会议室为调研对象的会议情况可后台统计并且导出。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黑体"/>
                <w:sz w:val="22"/>
                <w:szCs w:val="22"/>
              </w:rPr>
            </w:pPr>
            <w:r>
              <w:rPr>
                <w:rFonts w:hint="eastAsia" w:ascii="宋体" w:cs="黑体"/>
                <w:sz w:val="22"/>
                <w:szCs w:val="22"/>
              </w:rPr>
              <w:t>2</w:t>
            </w: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黑体"/>
                <w:sz w:val="22"/>
                <w:szCs w:val="22"/>
              </w:rPr>
            </w:pPr>
            <w:r>
              <w:rPr>
                <w:rFonts w:hint="eastAsia" w:ascii="宋体"/>
                <w:sz w:val="22"/>
                <w:szCs w:val="22"/>
              </w:rPr>
              <w:t>信息编报</w:t>
            </w:r>
          </w:p>
        </w:tc>
        <w:tc>
          <w:tcPr>
            <w:tcW w:w="7316" w:type="dxa"/>
            <w:tcBorders>
              <w:top w:val="single" w:color="auto" w:sz="4" w:space="0"/>
              <w:left w:val="single" w:color="auto" w:sz="4" w:space="0"/>
              <w:bottom w:val="single" w:color="auto" w:sz="4" w:space="0"/>
              <w:right w:val="single" w:color="auto" w:sz="4" w:space="0"/>
            </w:tcBorders>
            <w:noWrap/>
            <w:vAlign w:val="center"/>
          </w:tcPr>
          <w:p>
            <w:pPr>
              <w:textAlignment w:val="center"/>
              <w:rPr>
                <w:rFonts w:ascii="宋体"/>
                <w:sz w:val="22"/>
                <w:szCs w:val="22"/>
              </w:rPr>
            </w:pPr>
            <w:r>
              <w:rPr>
                <w:rFonts w:hint="eastAsia" w:ascii="宋体"/>
                <w:sz w:val="22"/>
                <w:szCs w:val="22"/>
              </w:rPr>
              <w:t>满足对内/对外信息数据调查：支持表单内容个性化配置；</w:t>
            </w:r>
          </w:p>
          <w:p>
            <w:pPr>
              <w:textAlignment w:val="center"/>
              <w:rPr>
                <w:rFonts w:ascii="宋体"/>
                <w:sz w:val="22"/>
                <w:szCs w:val="22"/>
              </w:rPr>
            </w:pPr>
            <w:r>
              <w:rPr>
                <w:rFonts w:hint="eastAsia" w:ascii="宋体"/>
                <w:sz w:val="22"/>
                <w:szCs w:val="22"/>
              </w:rPr>
              <w:t>支持二维码扫描填写内容（不限制移动端应用），支持表格数据导出。</w:t>
            </w:r>
          </w:p>
          <w:p>
            <w:pPr>
              <w:textAlignment w:val="center"/>
              <w:rPr>
                <w:rFonts w:ascii="宋体"/>
                <w:sz w:val="22"/>
                <w:szCs w:val="22"/>
              </w:rPr>
            </w:pPr>
            <w:r>
              <w:rPr>
                <w:rFonts w:hint="eastAsia" w:ascii="宋体"/>
                <w:sz w:val="22"/>
                <w:szCs w:val="22"/>
              </w:rPr>
              <w:t>调查表单制作支持以下功能：</w:t>
            </w:r>
          </w:p>
          <w:p>
            <w:pPr>
              <w:textAlignment w:val="center"/>
              <w:rPr>
                <w:rFonts w:ascii="宋体"/>
                <w:sz w:val="22"/>
                <w:szCs w:val="22"/>
              </w:rPr>
            </w:pPr>
            <w:r>
              <w:rPr>
                <w:rFonts w:hint="eastAsia" w:ascii="宋体"/>
                <w:sz w:val="22"/>
                <w:szCs w:val="22"/>
              </w:rPr>
              <w:t>表单制作：提供表单设计和编辑，定义表单数据，提供明细项一次性设置，导入导出表单样式。</w:t>
            </w:r>
          </w:p>
          <w:p>
            <w:pPr>
              <w:textAlignment w:val="center"/>
              <w:rPr>
                <w:rFonts w:ascii="宋体"/>
                <w:sz w:val="22"/>
                <w:szCs w:val="22"/>
              </w:rPr>
            </w:pPr>
            <w:r>
              <w:rPr>
                <w:rFonts w:hint="eastAsia" w:ascii="宋体"/>
                <w:sz w:val="22"/>
                <w:szCs w:val="22"/>
              </w:rPr>
              <w:t>枚举管理与基础信息管理：定义组织基础信息或事务/实物属性。</w:t>
            </w:r>
          </w:p>
          <w:p>
            <w:pPr>
              <w:textAlignment w:val="center"/>
              <w:rPr>
                <w:rFonts w:ascii="宋体"/>
                <w:sz w:val="22"/>
                <w:szCs w:val="22"/>
              </w:rPr>
            </w:pPr>
            <w:r>
              <w:rPr>
                <w:rFonts w:hint="eastAsia" w:ascii="宋体"/>
                <w:sz w:val="22"/>
                <w:szCs w:val="22"/>
              </w:rPr>
              <w:t>模板制作：提供有流程模板和无流程模板，将表单单据与协作模式结合。</w:t>
            </w:r>
          </w:p>
          <w:p>
            <w:pPr>
              <w:textAlignment w:val="center"/>
              <w:rPr>
                <w:rFonts w:ascii="宋体"/>
                <w:sz w:val="22"/>
                <w:szCs w:val="22"/>
              </w:rPr>
            </w:pPr>
            <w:r>
              <w:rPr>
                <w:rFonts w:hint="eastAsia" w:ascii="宋体"/>
                <w:sz w:val="22"/>
                <w:szCs w:val="22"/>
              </w:rPr>
              <w:t>表单流程数据查询：以流程模板为入口，用户可随时对发起和处理过的表单流程进行数据查询</w:t>
            </w:r>
          </w:p>
          <w:p>
            <w:pPr>
              <w:textAlignment w:val="center"/>
              <w:rPr>
                <w:rFonts w:ascii="宋体"/>
                <w:sz w:val="22"/>
                <w:szCs w:val="22"/>
              </w:rPr>
            </w:pPr>
            <w:r>
              <w:rPr>
                <w:rFonts w:hint="eastAsia" w:ascii="宋体"/>
                <w:sz w:val="22"/>
                <w:szCs w:val="22"/>
              </w:rPr>
              <w:t>支持表单发起和表单流转后的参与者的自动查询，支持字段定义查询内容；</w:t>
            </w:r>
          </w:p>
          <w:p>
            <w:pPr>
              <w:textAlignment w:val="center"/>
              <w:rPr>
                <w:rFonts w:ascii="宋体"/>
                <w:sz w:val="22"/>
                <w:szCs w:val="22"/>
              </w:rPr>
            </w:pPr>
            <w:r>
              <w:rPr>
                <w:rFonts w:hint="eastAsia" w:ascii="宋体"/>
                <w:sz w:val="22"/>
                <w:szCs w:val="22"/>
              </w:rPr>
              <w:t>表单的流程查询支持转存为“我的查询”；</w:t>
            </w:r>
          </w:p>
          <w:p>
            <w:pPr>
              <w:textAlignment w:val="center"/>
              <w:rPr>
                <w:rFonts w:ascii="宋体"/>
                <w:sz w:val="22"/>
                <w:szCs w:val="22"/>
              </w:rPr>
            </w:pPr>
            <w:r>
              <w:rPr>
                <w:rFonts w:hint="eastAsia" w:ascii="宋体"/>
                <w:sz w:val="22"/>
                <w:szCs w:val="22"/>
              </w:rPr>
              <w:t>表单流程数据查询支持按时间自动定义本月</w:t>
            </w:r>
            <w:r>
              <w:rPr>
                <w:rFonts w:hint="eastAsia" w:ascii="宋体"/>
                <w:sz w:val="22"/>
                <w:szCs w:val="22"/>
              </w:rPr>
              <w:tab/>
            </w:r>
            <w:r>
              <w:rPr>
                <w:rFonts w:hint="eastAsia" w:ascii="宋体"/>
                <w:sz w:val="22"/>
                <w:szCs w:val="22"/>
              </w:rPr>
              <w:t>本季和本年查询，增加了时间特性；</w:t>
            </w:r>
          </w:p>
          <w:p>
            <w:pPr>
              <w:textAlignment w:val="center"/>
              <w:rPr>
                <w:rFonts w:ascii="宋体"/>
                <w:sz w:val="22"/>
                <w:szCs w:val="22"/>
              </w:rPr>
            </w:pPr>
            <w:r>
              <w:rPr>
                <w:rFonts w:hint="eastAsia" w:ascii="宋体"/>
                <w:sz w:val="22"/>
                <w:szCs w:val="22"/>
              </w:rPr>
              <w:t>查询统计设计：提供表单数据统计表样式和查询显示样式的设计，设定统计查询范围。</w:t>
            </w:r>
          </w:p>
          <w:p>
            <w:pPr>
              <w:textAlignment w:val="center"/>
              <w:rPr>
                <w:rFonts w:ascii="宋体"/>
                <w:sz w:val="22"/>
                <w:szCs w:val="22"/>
              </w:rPr>
            </w:pPr>
            <w:r>
              <w:rPr>
                <w:rFonts w:hint="eastAsia" w:ascii="宋体"/>
                <w:color w:val="000000"/>
                <w:sz w:val="22"/>
                <w:szCs w:val="22"/>
              </w:rPr>
              <w:t>▲</w:t>
            </w:r>
            <w:r>
              <w:rPr>
                <w:rFonts w:hint="eastAsia" w:ascii="宋体"/>
                <w:sz w:val="22"/>
                <w:szCs w:val="22"/>
              </w:rPr>
              <w:t>表单查询统计：表单的查询和统计把数据提取出来，然后经过统计的逻辑进行加工，最后用统计报表的形式展现出来；提供表单协同查询和表单业务数据查询。</w:t>
            </w:r>
          </w:p>
          <w:p>
            <w:pPr>
              <w:textAlignment w:val="center"/>
              <w:rPr>
                <w:rFonts w:ascii="宋体"/>
                <w:sz w:val="22"/>
                <w:szCs w:val="22"/>
              </w:rPr>
            </w:pPr>
            <w:r>
              <w:rPr>
                <w:rFonts w:hint="eastAsia" w:ascii="宋体"/>
                <w:sz w:val="22"/>
                <w:szCs w:val="22"/>
              </w:rPr>
              <w:t>表单穿透查询：通过表单统计结果进行穿透查询，可以查询到统计结果的明细帐，查询结果可以以协同的方式进行转发。</w:t>
            </w:r>
          </w:p>
          <w:p>
            <w:pPr>
              <w:textAlignment w:val="center"/>
              <w:rPr>
                <w:rFonts w:ascii="宋体"/>
                <w:sz w:val="22"/>
                <w:szCs w:val="22"/>
              </w:rPr>
            </w:pPr>
            <w:r>
              <w:rPr>
                <w:rFonts w:hint="eastAsia" w:ascii="宋体"/>
                <w:sz w:val="22"/>
                <w:szCs w:val="22"/>
              </w:rPr>
              <w:t>表单统计结果支持结果转发协同和内容转发协同功能。</w:t>
            </w:r>
          </w:p>
          <w:p>
            <w:pPr>
              <w:textAlignment w:val="center"/>
              <w:rPr>
                <w:rFonts w:ascii="宋体"/>
                <w:sz w:val="22"/>
                <w:szCs w:val="22"/>
              </w:rPr>
            </w:pPr>
            <w:r>
              <w:rPr>
                <w:rFonts w:hint="eastAsia" w:ascii="宋体"/>
                <w:sz w:val="22"/>
                <w:szCs w:val="22"/>
              </w:rPr>
              <w:t>表单首页：集中进行表单流程处理和跟踪查询，表单模板调用，表单结果查询统计。</w:t>
            </w:r>
          </w:p>
          <w:p>
            <w:pPr>
              <w:textAlignment w:val="center"/>
              <w:rPr>
                <w:rFonts w:ascii="宋体"/>
                <w:color w:val="000000"/>
                <w:sz w:val="22"/>
                <w:szCs w:val="22"/>
              </w:rPr>
            </w:pPr>
            <w:r>
              <w:rPr>
                <w:rFonts w:hint="eastAsia" w:ascii="宋体"/>
                <w:sz w:val="22"/>
                <w:szCs w:val="22"/>
              </w:rPr>
              <w:t>表单业务：提供表单业务操作入口，实现表单单据信息的单人录入和多人协作。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0" w:firstLineChars="100"/>
              <w:textAlignment w:val="center"/>
              <w:rPr>
                <w:rFonts w:ascii="宋体"/>
                <w:sz w:val="22"/>
                <w:szCs w:val="22"/>
              </w:rPr>
            </w:pPr>
            <w:r>
              <w:rPr>
                <w:rFonts w:hint="eastAsia" w:ascii="宋体"/>
                <w:sz w:val="22"/>
                <w:szCs w:val="22"/>
              </w:rPr>
              <w:t>3</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sz w:val="22"/>
                <w:szCs w:val="22"/>
              </w:rPr>
            </w:pPr>
            <w:r>
              <w:rPr>
                <w:rFonts w:hint="eastAsia" w:ascii="宋体"/>
                <w:sz w:val="22"/>
                <w:szCs w:val="22"/>
              </w:rPr>
              <w:t>钉钉运维服务</w:t>
            </w:r>
          </w:p>
        </w:tc>
        <w:tc>
          <w:tcPr>
            <w:tcW w:w="7316"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ascii="宋体"/>
                <w:sz w:val="22"/>
                <w:szCs w:val="22"/>
              </w:rPr>
            </w:pPr>
            <w:r>
              <w:rPr>
                <w:rFonts w:hint="eastAsia" w:ascii="宋体"/>
                <w:sz w:val="22"/>
                <w:szCs w:val="22"/>
              </w:rPr>
              <w:t>1.钉钉办公平台咨询服务：钉钉平台整体咨询服务，协助医院进行工作方案规划</w:t>
            </w:r>
          </w:p>
          <w:p>
            <w:pPr>
              <w:textAlignment w:val="center"/>
              <w:rPr>
                <w:rFonts w:ascii="宋体"/>
                <w:sz w:val="22"/>
                <w:szCs w:val="22"/>
              </w:rPr>
            </w:pPr>
            <w:r>
              <w:rPr>
                <w:rFonts w:hint="eastAsia" w:ascii="宋体"/>
                <w:sz w:val="22"/>
                <w:szCs w:val="22"/>
              </w:rPr>
              <w:t>2.钉钉第三方应用咨询服务：基于钉钉平台的第三方应用咨询服务</w:t>
            </w:r>
          </w:p>
          <w:p>
            <w:pPr>
              <w:textAlignment w:val="center"/>
              <w:rPr>
                <w:rFonts w:ascii="宋体"/>
                <w:sz w:val="22"/>
                <w:szCs w:val="22"/>
              </w:rPr>
            </w:pPr>
            <w:r>
              <w:rPr>
                <w:rFonts w:hint="eastAsia" w:ascii="宋体"/>
                <w:sz w:val="22"/>
                <w:szCs w:val="22"/>
              </w:rPr>
              <w:t>3.钉钉智能硬件咨询服务：钉钉智能办公硬件咨询服务</w:t>
            </w:r>
          </w:p>
          <w:p>
            <w:pPr>
              <w:textAlignment w:val="center"/>
              <w:rPr>
                <w:rFonts w:ascii="宋体"/>
                <w:sz w:val="22"/>
                <w:szCs w:val="22"/>
              </w:rPr>
            </w:pPr>
            <w:r>
              <w:rPr>
                <w:rFonts w:hint="eastAsia" w:ascii="宋体"/>
                <w:sz w:val="22"/>
                <w:szCs w:val="22"/>
              </w:rPr>
              <w:t>4.钉钉移动审批制作服务：各职能科室、业务科室审批表单制作，及培训服务（表单及审批流程，基于钉钉审批产品能力，充分结合院方意见及需求设计制作）</w:t>
            </w:r>
          </w:p>
          <w:p>
            <w:pPr>
              <w:textAlignment w:val="center"/>
              <w:rPr>
                <w:rFonts w:ascii="宋体"/>
                <w:sz w:val="22"/>
                <w:szCs w:val="22"/>
              </w:rPr>
            </w:pPr>
            <w:r>
              <w:rPr>
                <w:rFonts w:hint="eastAsia" w:ascii="宋体"/>
                <w:sz w:val="22"/>
                <w:szCs w:val="22"/>
              </w:rPr>
              <w:t>多端适配：移动、PC端实时同步使用；</w:t>
            </w:r>
          </w:p>
          <w:p>
            <w:pPr>
              <w:textAlignment w:val="center"/>
              <w:rPr>
                <w:rFonts w:ascii="宋体"/>
                <w:sz w:val="22"/>
                <w:szCs w:val="22"/>
              </w:rPr>
            </w:pPr>
            <w:r>
              <w:rPr>
                <w:rFonts w:hint="eastAsia" w:ascii="宋体"/>
                <w:sz w:val="22"/>
                <w:szCs w:val="22"/>
              </w:rPr>
              <w:t xml:space="preserve">支持动态流程、并行节点等个性化能力，满足90%以上业务流程； </w:t>
            </w:r>
          </w:p>
          <w:p>
            <w:pPr>
              <w:textAlignment w:val="center"/>
              <w:rPr>
                <w:rFonts w:ascii="宋体"/>
                <w:sz w:val="22"/>
                <w:szCs w:val="22"/>
              </w:rPr>
            </w:pPr>
            <w:r>
              <w:rPr>
                <w:rFonts w:hint="eastAsia" w:ascii="宋体"/>
                <w:sz w:val="22"/>
                <w:szCs w:val="22"/>
              </w:rPr>
              <w:t>实现智能诊断，发现流程阻塞，提升流程运作效率，为医院发现优秀的人；</w:t>
            </w:r>
          </w:p>
          <w:p>
            <w:pPr>
              <w:textAlignment w:val="center"/>
              <w:rPr>
                <w:rFonts w:ascii="宋体"/>
                <w:sz w:val="22"/>
                <w:szCs w:val="22"/>
              </w:rPr>
            </w:pPr>
            <w:r>
              <w:rPr>
                <w:rFonts w:hint="eastAsia" w:ascii="宋体"/>
                <w:sz w:val="22"/>
                <w:szCs w:val="22"/>
              </w:rPr>
              <w:t>支持并行节点、动态流程；</w:t>
            </w:r>
          </w:p>
          <w:p>
            <w:pPr>
              <w:textAlignment w:val="center"/>
              <w:rPr>
                <w:rFonts w:ascii="宋体"/>
                <w:sz w:val="22"/>
                <w:szCs w:val="22"/>
              </w:rPr>
            </w:pPr>
            <w:r>
              <w:rPr>
                <w:rFonts w:hint="eastAsia" w:ascii="宋体"/>
                <w:sz w:val="22"/>
                <w:szCs w:val="22"/>
              </w:rPr>
              <w:t>支持业务规则管理：当在一个表单新增或修改数据后，在其他表单中新增指定数据或将符合条件的数据修改为指定值。</w:t>
            </w:r>
          </w:p>
          <w:p>
            <w:pPr>
              <w:textAlignment w:val="center"/>
              <w:rPr>
                <w:rFonts w:ascii="宋体"/>
                <w:sz w:val="22"/>
                <w:szCs w:val="22"/>
              </w:rPr>
            </w:pPr>
            <w:r>
              <w:rPr>
                <w:rFonts w:hint="eastAsia" w:ascii="宋体"/>
                <w:sz w:val="22"/>
                <w:szCs w:val="22"/>
              </w:rPr>
              <w:t>支持OCR识别：支持通用文字、身份证的识别，用户只需简单配置；</w:t>
            </w:r>
          </w:p>
          <w:p>
            <w:pPr>
              <w:textAlignment w:val="center"/>
              <w:rPr>
                <w:rFonts w:ascii="宋体"/>
                <w:sz w:val="22"/>
                <w:szCs w:val="22"/>
              </w:rPr>
            </w:pPr>
            <w:r>
              <w:rPr>
                <w:rFonts w:hint="eastAsia" w:ascii="宋体"/>
                <w:sz w:val="22"/>
                <w:szCs w:val="22"/>
              </w:rPr>
              <w:t>支持多条件组合：支持N个条件进行组合，形成一个复杂的条件。</w:t>
            </w:r>
          </w:p>
          <w:p>
            <w:pPr>
              <w:textAlignment w:val="center"/>
              <w:rPr>
                <w:rFonts w:ascii="宋体"/>
                <w:sz w:val="22"/>
                <w:szCs w:val="22"/>
              </w:rPr>
            </w:pPr>
            <w:r>
              <w:rPr>
                <w:rFonts w:hint="eastAsia" w:ascii="宋体"/>
                <w:sz w:val="22"/>
                <w:szCs w:val="22"/>
              </w:rPr>
              <w:t>支持数据列表增强：可以直接添加或导入、导出数据，编辑、删除、批量修改数据。</w:t>
            </w:r>
          </w:p>
          <w:p>
            <w:pPr>
              <w:textAlignment w:val="center"/>
              <w:rPr>
                <w:rFonts w:ascii="宋体"/>
                <w:sz w:val="22"/>
                <w:szCs w:val="22"/>
              </w:rPr>
            </w:pPr>
            <w:r>
              <w:rPr>
                <w:rFonts w:hint="eastAsia" w:ascii="宋体"/>
                <w:sz w:val="22"/>
                <w:szCs w:val="22"/>
              </w:rPr>
              <w:t>高级权限：支持「预设权限组」和「自定义权限组」。预设权限组根据用户权限使用</w:t>
            </w:r>
          </w:p>
          <w:p>
            <w:pPr>
              <w:textAlignment w:val="center"/>
              <w:rPr>
                <w:rFonts w:ascii="宋体"/>
                <w:sz w:val="22"/>
                <w:szCs w:val="22"/>
              </w:rPr>
            </w:pPr>
            <w:r>
              <w:rPr>
                <w:rFonts w:hint="eastAsia" w:ascii="宋体"/>
                <w:sz w:val="22"/>
                <w:szCs w:val="22"/>
              </w:rPr>
              <w:t>情况设定的几个常用权限，可以直接拿来使用；自定义权限组可以由用户根据实际使用需求自定团队成员的使用权限</w:t>
            </w:r>
          </w:p>
          <w:p>
            <w:pPr>
              <w:textAlignment w:val="center"/>
              <w:rPr>
                <w:rFonts w:ascii="宋体"/>
                <w:sz w:val="22"/>
                <w:szCs w:val="22"/>
              </w:rPr>
            </w:pPr>
            <w:r>
              <w:rPr>
                <w:rFonts w:hint="eastAsia" w:ascii="宋体"/>
                <w:sz w:val="22"/>
                <w:szCs w:val="22"/>
              </w:rPr>
              <w:t>5.钉钉组织架构及平台管理：协助管理组织架构、人员信息，协助管理钉钉办公平台</w:t>
            </w:r>
          </w:p>
          <w:p>
            <w:pPr>
              <w:textAlignment w:val="center"/>
              <w:rPr>
                <w:rFonts w:ascii="宋体"/>
                <w:sz w:val="22"/>
                <w:szCs w:val="22"/>
              </w:rPr>
            </w:pPr>
            <w:r>
              <w:rPr>
                <w:rFonts w:hint="eastAsia" w:ascii="宋体"/>
                <w:sz w:val="22"/>
                <w:szCs w:val="22"/>
              </w:rPr>
              <w:t>支持工作群信息安全管控：群内聊天界面、文档预览界面均包含账户水印，用于泄露后追查溯源；</w:t>
            </w:r>
          </w:p>
          <w:p>
            <w:pPr>
              <w:textAlignment w:val="center"/>
              <w:rPr>
                <w:rFonts w:ascii="宋体"/>
                <w:sz w:val="22"/>
                <w:szCs w:val="22"/>
              </w:rPr>
            </w:pPr>
            <w:r>
              <w:rPr>
                <w:rFonts w:hint="eastAsia" w:ascii="宋体"/>
                <w:sz w:val="22"/>
                <w:szCs w:val="22"/>
              </w:rPr>
              <w:t>支持移动端安全限制：在聊天界面中安卓端屏蔽了截屏、录屏功能，iOS端屏蔽了录屏功能，从源头上阻断截屏泄露的风险；</w:t>
            </w:r>
          </w:p>
          <w:p>
            <w:pPr>
              <w:textAlignment w:val="center"/>
              <w:rPr>
                <w:rFonts w:ascii="宋体"/>
                <w:sz w:val="22"/>
                <w:szCs w:val="22"/>
              </w:rPr>
            </w:pPr>
            <w:r>
              <w:rPr>
                <w:rFonts w:hint="eastAsia" w:ascii="宋体"/>
                <w:sz w:val="22"/>
                <w:szCs w:val="22"/>
              </w:rPr>
              <w:t>群消息安全防控：群内消息、文件无法被转发</w:t>
            </w:r>
          </w:p>
          <w:p>
            <w:pPr>
              <w:textAlignment w:val="center"/>
              <w:rPr>
                <w:rFonts w:ascii="宋体"/>
                <w:sz w:val="22"/>
                <w:szCs w:val="22"/>
              </w:rPr>
            </w:pPr>
            <w:r>
              <w:rPr>
                <w:rFonts w:hint="eastAsia" w:ascii="宋体"/>
                <w:sz w:val="22"/>
                <w:szCs w:val="22"/>
              </w:rPr>
              <w:t>单聊、群聊均可查看已读未读状态；</w:t>
            </w:r>
          </w:p>
          <w:p>
            <w:pPr>
              <w:textAlignment w:val="center"/>
              <w:rPr>
                <w:rFonts w:ascii="宋体"/>
                <w:sz w:val="22"/>
                <w:szCs w:val="22"/>
              </w:rPr>
            </w:pPr>
            <w:r>
              <w:rPr>
                <w:rFonts w:hint="eastAsia" w:ascii="宋体"/>
                <w:sz w:val="22"/>
                <w:szCs w:val="22"/>
              </w:rPr>
              <w:t>应用内ding提醒不限次数；</w:t>
            </w:r>
          </w:p>
          <w:p>
            <w:pPr>
              <w:textAlignment w:val="center"/>
              <w:rPr>
                <w:rFonts w:ascii="宋体"/>
                <w:sz w:val="22"/>
                <w:szCs w:val="22"/>
              </w:rPr>
            </w:pPr>
            <w:r>
              <w:rPr>
                <w:rFonts w:hint="eastAsia" w:ascii="宋体"/>
                <w:sz w:val="22"/>
                <w:szCs w:val="22"/>
              </w:rPr>
              <w:t>6.钉钉软件使用培训：包含钉钉基础使用、群直播、智能硬件、第三方应用，培训有线上和线下两种方式</w:t>
            </w:r>
          </w:p>
          <w:p>
            <w:pPr>
              <w:textAlignment w:val="center"/>
              <w:rPr>
                <w:rFonts w:ascii="宋体"/>
                <w:sz w:val="22"/>
                <w:szCs w:val="22"/>
              </w:rPr>
            </w:pPr>
            <w:r>
              <w:rPr>
                <w:rFonts w:hint="eastAsia" w:ascii="宋体"/>
                <w:sz w:val="22"/>
                <w:szCs w:val="22"/>
              </w:rPr>
              <w:t>7.智能办公电话</w:t>
            </w:r>
            <w:r>
              <w:rPr>
                <w:rFonts w:ascii="宋体"/>
                <w:sz w:val="22"/>
                <w:szCs w:val="22"/>
              </w:rPr>
              <w:t xml:space="preserve"> </w:t>
            </w:r>
            <w:r>
              <w:rPr>
                <w:rFonts w:hint="eastAsia" w:ascii="宋体"/>
                <w:sz w:val="22"/>
                <w:szCs w:val="22"/>
              </w:rPr>
              <w:t>10000分钟</w:t>
            </w:r>
          </w:p>
          <w:p>
            <w:pPr>
              <w:textAlignment w:val="center"/>
              <w:rPr>
                <w:rFonts w:ascii="宋体"/>
                <w:sz w:val="22"/>
                <w:szCs w:val="22"/>
              </w:rPr>
            </w:pPr>
            <w:r>
              <w:rPr>
                <w:rFonts w:hint="eastAsia" w:ascii="宋体"/>
                <w:sz w:val="22"/>
                <w:szCs w:val="22"/>
              </w:rPr>
              <w:t>8.钉电话、短信10000次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pPr>
              <w:ind w:firstLine="220" w:firstLineChars="100"/>
              <w:textAlignment w:val="center"/>
              <w:rPr>
                <w:rFonts w:ascii="宋体"/>
                <w:sz w:val="22"/>
                <w:szCs w:val="22"/>
              </w:rPr>
            </w:pPr>
            <w:r>
              <w:rPr>
                <w:rFonts w:hint="eastAsia" w:ascii="宋体"/>
                <w:sz w:val="22"/>
                <w:szCs w:val="22"/>
              </w:rPr>
              <w:t>4</w:t>
            </w:r>
          </w:p>
        </w:tc>
        <w:tc>
          <w:tcPr>
            <w:tcW w:w="1575" w:type="dxa"/>
            <w:tcBorders>
              <w:top w:val="single" w:color="auto" w:sz="4" w:space="0"/>
              <w:left w:val="single" w:color="auto" w:sz="4" w:space="0"/>
              <w:bottom w:val="single" w:color="auto" w:sz="4" w:space="0"/>
              <w:right w:val="single" w:color="auto" w:sz="4" w:space="0"/>
            </w:tcBorders>
            <w:noWrap/>
            <w:vAlign w:val="center"/>
          </w:tcPr>
          <w:p>
            <w:pPr>
              <w:textAlignment w:val="center"/>
              <w:rPr>
                <w:rFonts w:ascii="宋体"/>
                <w:sz w:val="22"/>
                <w:szCs w:val="22"/>
              </w:rPr>
            </w:pPr>
            <w:r>
              <w:rPr>
                <w:rFonts w:hint="eastAsia" w:ascii="宋体"/>
                <w:sz w:val="22"/>
                <w:szCs w:val="22"/>
              </w:rPr>
              <w:t>售后服务</w:t>
            </w:r>
          </w:p>
        </w:tc>
        <w:tc>
          <w:tcPr>
            <w:tcW w:w="7316" w:type="dxa"/>
            <w:tcBorders>
              <w:top w:val="single" w:color="auto" w:sz="4" w:space="0"/>
              <w:left w:val="nil"/>
              <w:bottom w:val="single" w:color="auto" w:sz="4" w:space="0"/>
              <w:right w:val="single" w:color="auto" w:sz="4" w:space="0"/>
            </w:tcBorders>
            <w:noWrap/>
            <w:vAlign w:val="center"/>
          </w:tcPr>
          <w:p>
            <w:pPr>
              <w:textAlignment w:val="center"/>
              <w:rPr>
                <w:rFonts w:ascii="宋体"/>
                <w:sz w:val="22"/>
                <w:szCs w:val="22"/>
              </w:rPr>
            </w:pPr>
            <w:r>
              <w:rPr>
                <w:rFonts w:hint="eastAsia" w:ascii="宋体"/>
                <w:sz w:val="22"/>
                <w:szCs w:val="22"/>
              </w:rPr>
              <w:t>实时部署、运维、答疑，定期组织培训、推介。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pPr>
              <w:ind w:firstLine="220" w:firstLineChars="100"/>
              <w:textAlignment w:val="center"/>
              <w:rPr>
                <w:rFonts w:ascii="宋体"/>
                <w:sz w:val="22"/>
                <w:szCs w:val="22"/>
              </w:rPr>
            </w:pPr>
            <w:r>
              <w:rPr>
                <w:rFonts w:hint="eastAsia" w:ascii="宋体"/>
                <w:sz w:val="22"/>
                <w:szCs w:val="22"/>
              </w:rPr>
              <w:t>5</w:t>
            </w:r>
          </w:p>
        </w:tc>
        <w:tc>
          <w:tcPr>
            <w:tcW w:w="1575" w:type="dxa"/>
            <w:tcBorders>
              <w:top w:val="single" w:color="auto" w:sz="4" w:space="0"/>
              <w:left w:val="single" w:color="auto" w:sz="4" w:space="0"/>
              <w:bottom w:val="single" w:color="auto" w:sz="4" w:space="0"/>
              <w:right w:val="single" w:color="auto" w:sz="4" w:space="0"/>
            </w:tcBorders>
            <w:noWrap/>
            <w:vAlign w:val="center"/>
          </w:tcPr>
          <w:p>
            <w:pPr>
              <w:textAlignment w:val="center"/>
              <w:rPr>
                <w:rFonts w:ascii="宋体"/>
                <w:sz w:val="22"/>
                <w:szCs w:val="22"/>
              </w:rPr>
            </w:pPr>
            <w:r>
              <w:rPr>
                <w:rFonts w:hint="eastAsia" w:ascii="宋体"/>
                <w:sz w:val="22"/>
                <w:szCs w:val="22"/>
              </w:rPr>
              <w:t>平台支持</w:t>
            </w:r>
          </w:p>
        </w:tc>
        <w:tc>
          <w:tcPr>
            <w:tcW w:w="7316" w:type="dxa"/>
            <w:tcBorders>
              <w:top w:val="single" w:color="auto" w:sz="4" w:space="0"/>
              <w:left w:val="nil"/>
              <w:bottom w:val="single" w:color="auto" w:sz="4" w:space="0"/>
              <w:right w:val="single" w:color="auto" w:sz="4" w:space="0"/>
            </w:tcBorders>
            <w:noWrap/>
            <w:vAlign w:val="center"/>
          </w:tcPr>
          <w:p>
            <w:pPr>
              <w:textAlignment w:val="center"/>
              <w:rPr>
                <w:rFonts w:ascii="宋体"/>
                <w:sz w:val="22"/>
                <w:szCs w:val="22"/>
              </w:rPr>
            </w:pPr>
            <w:r>
              <w:rPr>
                <w:rFonts w:hint="eastAsia" w:ascii="宋体"/>
                <w:sz w:val="22"/>
                <w:szCs w:val="22"/>
              </w:rPr>
              <w:t>所有应用模块或软件均开放支持其他应用系统，不具有排他性，并所建的办公平台能为其他应用提供技术接口。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pPr>
              <w:ind w:firstLine="220" w:firstLineChars="100"/>
              <w:textAlignment w:val="center"/>
              <w:rPr>
                <w:rFonts w:ascii="宋体"/>
                <w:sz w:val="22"/>
                <w:szCs w:val="22"/>
              </w:rPr>
            </w:pPr>
            <w:r>
              <w:rPr>
                <w:rFonts w:hint="eastAsia" w:ascii="宋体"/>
                <w:sz w:val="22"/>
                <w:szCs w:val="22"/>
              </w:rPr>
              <w:t>6</w:t>
            </w:r>
          </w:p>
        </w:tc>
        <w:tc>
          <w:tcPr>
            <w:tcW w:w="1575" w:type="dxa"/>
            <w:tcBorders>
              <w:top w:val="single" w:color="auto" w:sz="4" w:space="0"/>
              <w:left w:val="single" w:color="auto" w:sz="4" w:space="0"/>
              <w:bottom w:val="single" w:color="auto" w:sz="4" w:space="0"/>
              <w:right w:val="single" w:color="auto" w:sz="4" w:space="0"/>
            </w:tcBorders>
            <w:noWrap/>
            <w:vAlign w:val="center"/>
          </w:tcPr>
          <w:p>
            <w:pPr>
              <w:textAlignment w:val="center"/>
              <w:rPr>
                <w:rFonts w:ascii="宋体"/>
                <w:sz w:val="22"/>
                <w:szCs w:val="22"/>
              </w:rPr>
            </w:pPr>
            <w:r>
              <w:rPr>
                <w:rFonts w:hint="eastAsia" w:ascii="宋体"/>
                <w:sz w:val="22"/>
                <w:szCs w:val="22"/>
              </w:rPr>
              <w:t>▲操作系统</w:t>
            </w:r>
          </w:p>
        </w:tc>
        <w:tc>
          <w:tcPr>
            <w:tcW w:w="7316" w:type="dxa"/>
            <w:tcBorders>
              <w:top w:val="single" w:color="auto" w:sz="4" w:space="0"/>
              <w:left w:val="nil"/>
              <w:bottom w:val="single" w:color="auto" w:sz="4" w:space="0"/>
              <w:right w:val="single" w:color="auto" w:sz="4" w:space="0"/>
            </w:tcBorders>
            <w:noWrap/>
            <w:vAlign w:val="center"/>
          </w:tcPr>
          <w:p>
            <w:pPr>
              <w:textAlignment w:val="center"/>
              <w:rPr>
                <w:rFonts w:ascii="宋体"/>
                <w:sz w:val="22"/>
                <w:szCs w:val="22"/>
              </w:rPr>
            </w:pPr>
            <w:r>
              <w:rPr>
                <w:rFonts w:hint="eastAsia" w:ascii="宋体"/>
                <w:sz w:val="22"/>
                <w:szCs w:val="22"/>
              </w:rPr>
              <w:t>系统需支持：IOS、Android 、Windows、Mac四大平台；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pPr>
              <w:ind w:firstLine="220" w:firstLineChars="100"/>
              <w:textAlignment w:val="center"/>
              <w:rPr>
                <w:rFonts w:ascii="宋体"/>
                <w:sz w:val="22"/>
                <w:szCs w:val="22"/>
              </w:rPr>
            </w:pPr>
            <w:r>
              <w:rPr>
                <w:rFonts w:hint="eastAsia" w:ascii="宋体"/>
                <w:sz w:val="22"/>
                <w:szCs w:val="22"/>
              </w:rPr>
              <w:t>7</w:t>
            </w:r>
          </w:p>
        </w:tc>
        <w:tc>
          <w:tcPr>
            <w:tcW w:w="1575" w:type="dxa"/>
            <w:tcBorders>
              <w:top w:val="single" w:color="auto" w:sz="4" w:space="0"/>
              <w:left w:val="single" w:color="auto" w:sz="4" w:space="0"/>
              <w:bottom w:val="single" w:color="auto" w:sz="4" w:space="0"/>
              <w:right w:val="single" w:color="auto" w:sz="4" w:space="0"/>
            </w:tcBorders>
            <w:noWrap/>
            <w:vAlign w:val="center"/>
          </w:tcPr>
          <w:p>
            <w:pPr>
              <w:textAlignment w:val="center"/>
              <w:rPr>
                <w:rFonts w:ascii="宋体"/>
                <w:sz w:val="22"/>
                <w:szCs w:val="22"/>
              </w:rPr>
            </w:pPr>
            <w:r>
              <w:rPr>
                <w:rFonts w:hint="eastAsia" w:ascii="宋体"/>
                <w:sz w:val="22"/>
                <w:szCs w:val="22"/>
              </w:rPr>
              <w:t>▲安全性要求</w:t>
            </w:r>
          </w:p>
        </w:tc>
        <w:tc>
          <w:tcPr>
            <w:tcW w:w="7316" w:type="dxa"/>
            <w:tcBorders>
              <w:top w:val="single" w:color="auto" w:sz="4" w:space="0"/>
              <w:left w:val="nil"/>
              <w:bottom w:val="single" w:color="auto" w:sz="4" w:space="0"/>
              <w:right w:val="single" w:color="auto" w:sz="4" w:space="0"/>
            </w:tcBorders>
            <w:noWrap/>
            <w:vAlign w:val="center"/>
          </w:tcPr>
          <w:p>
            <w:pPr>
              <w:textAlignment w:val="center"/>
              <w:rPr>
                <w:rFonts w:ascii="宋体"/>
                <w:sz w:val="22"/>
                <w:szCs w:val="22"/>
              </w:rPr>
            </w:pPr>
            <w:r>
              <w:rPr>
                <w:rFonts w:hint="eastAsia" w:ascii="宋体"/>
                <w:sz w:val="22"/>
                <w:szCs w:val="22"/>
              </w:rPr>
              <w:t>通过信息系统、云存储三级等级保护认证（2018年及之后）</w:t>
            </w:r>
          </w:p>
          <w:p>
            <w:pPr>
              <w:textAlignment w:val="center"/>
              <w:rPr>
                <w:rFonts w:ascii="宋体"/>
                <w:sz w:val="22"/>
                <w:szCs w:val="22"/>
              </w:rPr>
            </w:pPr>
            <w:r>
              <w:rPr>
                <w:rFonts w:hint="eastAsia" w:ascii="宋体"/>
                <w:sz w:val="22"/>
                <w:szCs w:val="22"/>
              </w:rPr>
              <w:t>ISO27001：2013信息安全管理体系标准认证</w:t>
            </w:r>
          </w:p>
          <w:p>
            <w:pPr>
              <w:textAlignment w:val="center"/>
              <w:rPr>
                <w:rFonts w:ascii="宋体"/>
                <w:sz w:val="22"/>
                <w:szCs w:val="22"/>
              </w:rPr>
            </w:pPr>
            <w:r>
              <w:rPr>
                <w:rFonts w:hint="eastAsia" w:ascii="宋体"/>
                <w:sz w:val="22"/>
                <w:szCs w:val="22"/>
              </w:rPr>
              <w:t>ISO27018：2014公共云个人身份信息（PII）保护管理体系</w:t>
            </w:r>
          </w:p>
          <w:p>
            <w:pPr>
              <w:textAlignment w:val="center"/>
              <w:rPr>
                <w:rFonts w:ascii="宋体"/>
                <w:sz w:val="22"/>
                <w:szCs w:val="22"/>
              </w:rPr>
            </w:pPr>
            <w:r>
              <w:rPr>
                <w:rFonts w:hint="eastAsia" w:ascii="宋体"/>
                <w:sz w:val="22"/>
                <w:szCs w:val="22"/>
              </w:rPr>
              <w:t>SOCII安全审计</w:t>
            </w:r>
          </w:p>
        </w:tc>
      </w:tr>
    </w:tbl>
    <w:p>
      <w:pPr>
        <w:spacing w:line="360" w:lineRule="auto"/>
        <w:rPr>
          <w:rFonts w:asciiTheme="minorEastAsia" w:hAnsiTheme="minorEastAsia" w:eastAsiaTheme="minorEastAsia"/>
          <w:color w:val="000000"/>
          <w:sz w:val="24"/>
          <w:szCs w:val="24"/>
          <w:lang w:eastAsia="zh-TW"/>
        </w:rPr>
      </w:pPr>
    </w:p>
    <w:p>
      <w:pPr>
        <w:pStyle w:val="15"/>
        <w:spacing w:line="360" w:lineRule="auto"/>
        <w:rPr>
          <w:b/>
        </w:rPr>
        <w:sectPr>
          <w:pgSz w:w="11900" w:h="16840"/>
          <w:pgMar w:top="1474" w:right="1531" w:bottom="1091" w:left="1531" w:header="851" w:footer="851" w:gutter="0"/>
          <w:cols w:space="720" w:num="1"/>
          <w:titlePg/>
          <w:docGrid w:linePitch="360" w:charSpace="0"/>
        </w:sectPr>
      </w:pPr>
    </w:p>
    <w:p>
      <w:pPr>
        <w:pStyle w:val="15"/>
        <w:ind w:firstLine="0"/>
        <w:rPr>
          <w:rFonts w:asciiTheme="minorEastAsia" w:hAnsiTheme="minorEastAsia" w:eastAsiaTheme="minorEastAsia"/>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嘉兴市第一医院钉钉办公平台运维服务</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嘉一采招（非）（服）〔2023〕111号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15"/>
        <w:rPr>
          <w:rFonts w:asciiTheme="minorEastAsia" w:hAnsiTheme="minorEastAsia" w:eastAsiaTheme="minorEastAsia"/>
        </w:rPr>
      </w:pPr>
    </w:p>
    <w:p>
      <w:pPr>
        <w:pStyle w:val="15"/>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2"/>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15"/>
        <w:ind w:firstLine="0"/>
      </w:pPr>
    </w:p>
    <w:p>
      <w:pPr>
        <w:pStyle w:val="15"/>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2"/>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25"/>
        <w:tabs>
          <w:tab w:val="left" w:pos="284"/>
          <w:tab w:val="left" w:pos="993"/>
        </w:tabs>
        <w:rPr>
          <w:rFonts w:asciiTheme="minorEastAsia" w:hAnsiTheme="minorEastAsia" w:eastAsiaTheme="minorEastAsia"/>
        </w:rPr>
      </w:pPr>
    </w:p>
    <w:p>
      <w:pPr>
        <w:pStyle w:val="25"/>
        <w:tabs>
          <w:tab w:val="left" w:pos="284"/>
          <w:tab w:val="left" w:pos="993"/>
        </w:tabs>
        <w:rPr>
          <w:rFonts w:asciiTheme="minorEastAsia" w:hAnsiTheme="minorEastAsia" w:eastAsiaTheme="minorEastAsia"/>
        </w:rPr>
      </w:pPr>
    </w:p>
    <w:p>
      <w:pPr>
        <w:pStyle w:val="25"/>
        <w:tabs>
          <w:tab w:val="left" w:pos="284"/>
          <w:tab w:val="left" w:pos="993"/>
        </w:tabs>
        <w:rPr>
          <w:rFonts w:asciiTheme="minorEastAsia" w:hAnsiTheme="minorEastAsia" w:eastAsiaTheme="minorEastAsia"/>
        </w:rPr>
      </w:pPr>
    </w:p>
    <w:p>
      <w:pPr>
        <w:pStyle w:val="25"/>
        <w:tabs>
          <w:tab w:val="left" w:pos="284"/>
          <w:tab w:val="left" w:pos="993"/>
        </w:tabs>
        <w:rPr>
          <w:rFonts w:asciiTheme="minorEastAsia" w:hAnsiTheme="minorEastAsia" w:eastAsiaTheme="minorEastAsia"/>
        </w:rPr>
      </w:pPr>
    </w:p>
    <w:p>
      <w:pPr>
        <w:pStyle w:val="25"/>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2"/>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15"/>
        <w:tabs>
          <w:tab w:val="left" w:pos="284"/>
          <w:tab w:val="left" w:pos="993"/>
        </w:tabs>
        <w:rPr>
          <w:rFonts w:asciiTheme="minorEastAsia" w:hAnsiTheme="minorEastAsia" w:eastAsiaTheme="minorEastAsia"/>
        </w:rPr>
      </w:pPr>
    </w:p>
    <w:p>
      <w:pPr>
        <w:pStyle w:val="15"/>
        <w:tabs>
          <w:tab w:val="left" w:pos="284"/>
          <w:tab w:val="left" w:pos="993"/>
        </w:tabs>
        <w:rPr>
          <w:rFonts w:asciiTheme="minorEastAsia" w:hAnsiTheme="minorEastAsia" w:eastAsiaTheme="minorEastAsia"/>
        </w:rPr>
      </w:pPr>
    </w:p>
    <w:p>
      <w:pPr>
        <w:pStyle w:val="15"/>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嘉兴市第一医院钉钉办公平台运维服务</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嘉一采招（非）（服）〔2023〕111号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15"/>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Cs w:val="24"/>
        </w:rPr>
      </w:pPr>
      <w:r>
        <w:rPr>
          <w:rFonts w:asciiTheme="minorEastAsia" w:hAnsiTheme="minorEastAsia" w:eastAsiaTheme="minorEastAsia"/>
          <w:sz w:val="24"/>
        </w:rPr>
        <w:t>（2）投标人针对报价需要说明的其他文件和说明（格式自拟）</w:t>
      </w:r>
    </w:p>
    <w:p>
      <w:pPr>
        <w:pStyle w:val="15"/>
        <w:jc w:val="right"/>
        <w:rPr>
          <w:rFonts w:asciiTheme="minorEastAsia" w:hAnsiTheme="minorEastAsia" w:eastAsiaTheme="minorEastAsia"/>
          <w:szCs w:val="24"/>
        </w:rPr>
      </w:pPr>
    </w:p>
    <w:p>
      <w:pPr>
        <w:pStyle w:val="15"/>
        <w:jc w:val="right"/>
        <w:rPr>
          <w:rFonts w:asciiTheme="minorEastAsia" w:hAnsiTheme="minorEastAsia" w:eastAsiaTheme="minorEastAsia"/>
          <w:szCs w:val="24"/>
        </w:rPr>
      </w:pPr>
    </w:p>
    <w:p>
      <w:pPr>
        <w:pStyle w:val="15"/>
        <w:jc w:val="right"/>
        <w:rPr>
          <w:rFonts w:asciiTheme="minorEastAsia" w:hAnsiTheme="minorEastAsia" w:eastAsiaTheme="minorEastAsia"/>
          <w:szCs w:val="24"/>
        </w:rPr>
      </w:pPr>
    </w:p>
    <w:p>
      <w:pPr>
        <w:pStyle w:val="15"/>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嘉兴市第一医院钉钉办公平台运维服务</w:t>
      </w:r>
    </w:p>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嘉一采招（非）（服）〔2023〕111号</w:t>
      </w:r>
    </w:p>
    <w:p>
      <w:pPr>
        <w:pStyle w:val="15"/>
      </w:pPr>
    </w:p>
    <w:tbl>
      <w:tblPr>
        <w:tblStyle w:val="12"/>
        <w:tblW w:w="8520" w:type="dxa"/>
        <w:jc w:val="center"/>
        <w:tblLayout w:type="autofit"/>
        <w:tblCellMar>
          <w:top w:w="0" w:type="dxa"/>
          <w:left w:w="108" w:type="dxa"/>
          <w:bottom w:w="0" w:type="dxa"/>
          <w:right w:w="108" w:type="dxa"/>
        </w:tblCellMar>
      </w:tblPr>
      <w:tblGrid>
        <w:gridCol w:w="2775"/>
        <w:gridCol w:w="1493"/>
        <w:gridCol w:w="2250"/>
        <w:gridCol w:w="2002"/>
      </w:tblGrid>
      <w:tr>
        <w:tblPrEx>
          <w:tblCellMar>
            <w:top w:w="0" w:type="dxa"/>
            <w:left w:w="108" w:type="dxa"/>
            <w:bottom w:w="0" w:type="dxa"/>
            <w:right w:w="108" w:type="dxa"/>
          </w:tblCellMar>
        </w:tblPrEx>
        <w:trPr>
          <w:trHeight w:val="943" w:hRule="atLeast"/>
          <w:jc w:val="center"/>
        </w:trPr>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项目名称</w:t>
            </w:r>
          </w:p>
        </w:tc>
        <w:tc>
          <w:tcPr>
            <w:tcW w:w="14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服务期限</w:t>
            </w:r>
          </w:p>
        </w:tc>
        <w:tc>
          <w:tcPr>
            <w:tcW w:w="2250"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报价（元）</w:t>
            </w:r>
          </w:p>
        </w:tc>
        <w:tc>
          <w:tcPr>
            <w:tcW w:w="2002" w:type="dxa"/>
            <w:tcBorders>
              <w:top w:val="single" w:color="auto" w:sz="4" w:space="0"/>
              <w:left w:val="nil"/>
              <w:bottom w:val="single" w:color="auto" w:sz="4" w:space="0"/>
              <w:right w:val="single" w:color="auto" w:sz="4" w:space="0"/>
            </w:tcBorders>
            <w:vAlign w:val="center"/>
          </w:tcPr>
          <w:p>
            <w:pPr>
              <w:jc w:val="center"/>
              <w:rPr>
                <w:rFonts w:hint="default"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备注</w:t>
            </w:r>
          </w:p>
        </w:tc>
      </w:tr>
      <w:tr>
        <w:tblPrEx>
          <w:tblCellMar>
            <w:top w:w="0" w:type="dxa"/>
            <w:left w:w="108" w:type="dxa"/>
            <w:bottom w:w="0" w:type="dxa"/>
            <w:right w:w="108" w:type="dxa"/>
          </w:tblCellMar>
        </w:tblPrEx>
        <w:trPr>
          <w:trHeight w:val="959" w:hRule="atLeast"/>
          <w:jc w:val="center"/>
        </w:trPr>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嘉兴市第一医院钉钉办公平台运维服务</w:t>
            </w:r>
          </w:p>
        </w:tc>
        <w:tc>
          <w:tcPr>
            <w:tcW w:w="14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壹</w:t>
            </w:r>
            <w:r>
              <w:rPr>
                <w:rFonts w:hint="eastAsia" w:cs="宋体" w:asciiTheme="minorEastAsia" w:hAnsiTheme="minorEastAsia" w:eastAsiaTheme="minorEastAsia"/>
                <w:sz w:val="24"/>
                <w:szCs w:val="24"/>
              </w:rPr>
              <w:t>年</w:t>
            </w:r>
          </w:p>
        </w:tc>
        <w:tc>
          <w:tcPr>
            <w:tcW w:w="2250" w:type="dxa"/>
            <w:tcBorders>
              <w:top w:val="single" w:color="auto" w:sz="4" w:space="0"/>
              <w:left w:val="nil"/>
              <w:bottom w:val="single" w:color="auto" w:sz="4" w:space="0"/>
              <w:right w:val="single" w:color="auto" w:sz="4" w:space="0"/>
            </w:tcBorders>
          </w:tcPr>
          <w:p/>
        </w:tc>
        <w:tc>
          <w:tcPr>
            <w:tcW w:w="2002" w:type="dxa"/>
            <w:tcBorders>
              <w:top w:val="single" w:color="auto" w:sz="4" w:space="0"/>
              <w:left w:val="nil"/>
              <w:bottom w:val="single" w:color="auto" w:sz="4" w:space="0"/>
              <w:right w:val="single" w:color="auto" w:sz="4" w:space="0"/>
            </w:tcBorders>
          </w:tcPr>
          <w:p/>
        </w:tc>
      </w:tr>
    </w:tbl>
    <w:p>
      <w:pPr>
        <w:rPr>
          <w:sz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72" w:firstLineChars="196"/>
        <w:rPr>
          <w:rFonts w:ascii="宋体" w:hAnsi="宋体"/>
          <w:b/>
          <w:sz w:val="24"/>
        </w:rPr>
      </w:pPr>
      <w:r>
        <w:rPr>
          <w:rFonts w:hint="eastAsia" w:ascii="宋体" w:hAnsi="宋体"/>
          <w:b/>
          <w:sz w:val="24"/>
        </w:rPr>
        <w:t>3、投标报价应为人民币含税价。</w:t>
      </w:r>
    </w:p>
    <w:p>
      <w:pPr>
        <w:pStyle w:val="15"/>
      </w:pPr>
    </w:p>
    <w:p>
      <w:pPr>
        <w:pStyle w:val="15"/>
      </w:pPr>
    </w:p>
    <w:p>
      <w:pPr>
        <w:pStyle w:val="15"/>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15"/>
      </w:pPr>
    </w:p>
    <w:p>
      <w:pPr>
        <w:pStyle w:val="15"/>
      </w:pPr>
    </w:p>
    <w:p>
      <w:pPr>
        <w:pStyle w:val="15"/>
      </w:pPr>
    </w:p>
    <w:p>
      <w:pPr>
        <w:pStyle w:val="15"/>
      </w:pPr>
    </w:p>
    <w:p>
      <w:pPr>
        <w:widowControl/>
        <w:tabs>
          <w:tab w:val="left" w:pos="284"/>
          <w:tab w:val="left" w:pos="993"/>
        </w:tabs>
        <w:snapToGrid w:val="0"/>
        <w:spacing w:before="50" w:after="50"/>
        <w:rPr>
          <w:rFonts w:asciiTheme="minorEastAsia" w:hAnsiTheme="minorEastAsia" w:eastAsiaTheme="minorEastAsia"/>
          <w:sz w:val="30"/>
        </w:rPr>
      </w:pPr>
    </w:p>
    <w:p>
      <w:pPr>
        <w:pStyle w:val="15"/>
      </w:pPr>
    </w:p>
    <w:p>
      <w:pPr>
        <w:pStyle w:val="15"/>
      </w:pPr>
    </w:p>
    <w:p>
      <w:pPr>
        <w:pStyle w:val="15"/>
      </w:pPr>
    </w:p>
    <w:p>
      <w:pPr>
        <w:pStyle w:val="15"/>
      </w:pPr>
    </w:p>
    <w:p>
      <w:pPr>
        <w:pStyle w:val="1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935C2"/>
    <w:multiLevelType w:val="singleLevel"/>
    <w:tmpl w:val="99C935C2"/>
    <w:lvl w:ilvl="0" w:tentative="0">
      <w:start w:val="1"/>
      <w:numFmt w:val="decimal"/>
      <w:suff w:val="nothing"/>
      <w:lvlText w:val="%1、"/>
      <w:lvlJc w:val="left"/>
      <w:rPr>
        <w:rFonts w:hint="default" w:ascii="宋体" w:hAnsi="宋体" w:eastAsia="宋体" w:cs="宋体"/>
      </w:rPr>
    </w:lvl>
  </w:abstractNum>
  <w:abstractNum w:abstractNumId="1">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8E1AFC4"/>
    <w:multiLevelType w:val="singleLevel"/>
    <w:tmpl w:val="38E1AFC4"/>
    <w:lvl w:ilvl="0" w:tentative="0">
      <w:start w:val="1"/>
      <w:numFmt w:val="decimal"/>
      <w:suff w:val="nothing"/>
      <w:lvlText w:val="%1、"/>
      <w:lvlJc w:val="left"/>
      <w:rPr>
        <w:rFonts w:hint="default" w:ascii="宋体" w:hAnsi="宋体" w:eastAsia="宋体" w:cs="宋体"/>
      </w:rPr>
    </w:lvl>
  </w:abstractNum>
  <w:abstractNum w:abstractNumId="18">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5336006"/>
    <w:multiLevelType w:val="multilevel"/>
    <w:tmpl w:val="55336006"/>
    <w:lvl w:ilvl="0" w:tentative="0">
      <w:start w:val="1"/>
      <w:numFmt w:val="decimal"/>
      <w:lvlText w:val="1.%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18"/>
  </w:num>
  <w:num w:numId="4">
    <w:abstractNumId w:val="9"/>
  </w:num>
  <w:num w:numId="5">
    <w:abstractNumId w:val="20"/>
  </w:num>
  <w:num w:numId="6">
    <w:abstractNumId w:val="2"/>
  </w:num>
  <w:num w:numId="7">
    <w:abstractNumId w:val="19"/>
  </w:num>
  <w:num w:numId="8">
    <w:abstractNumId w:val="27"/>
  </w:num>
  <w:num w:numId="9">
    <w:abstractNumId w:val="4"/>
  </w:num>
  <w:num w:numId="10">
    <w:abstractNumId w:val="10"/>
  </w:num>
  <w:num w:numId="11">
    <w:abstractNumId w:val="1"/>
  </w:num>
  <w:num w:numId="12">
    <w:abstractNumId w:val="15"/>
  </w:num>
  <w:num w:numId="13">
    <w:abstractNumId w:val="16"/>
  </w:num>
  <w:num w:numId="14">
    <w:abstractNumId w:val="24"/>
  </w:num>
  <w:num w:numId="15">
    <w:abstractNumId w:val="21"/>
  </w:num>
  <w:num w:numId="16">
    <w:abstractNumId w:val="13"/>
  </w:num>
  <w:num w:numId="17">
    <w:abstractNumId w:val="12"/>
  </w:num>
  <w:num w:numId="18">
    <w:abstractNumId w:val="23"/>
  </w:num>
  <w:num w:numId="19">
    <w:abstractNumId w:val="8"/>
  </w:num>
  <w:num w:numId="20">
    <w:abstractNumId w:val="3"/>
  </w:num>
  <w:num w:numId="21">
    <w:abstractNumId w:val="14"/>
  </w:num>
  <w:num w:numId="22">
    <w:abstractNumId w:val="6"/>
  </w:num>
  <w:num w:numId="23">
    <w:abstractNumId w:val="26"/>
  </w:num>
  <w:num w:numId="24">
    <w:abstractNumId w:val="25"/>
  </w:num>
  <w:num w:numId="25">
    <w:abstractNumId w:val="11"/>
  </w:num>
  <w:num w:numId="26">
    <w:abstractNumId w:val="22"/>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mZjkzZjBhMmQyZTg2MGY5ZThmY2Q1NTU4YzcwMDgifQ=="/>
  </w:docVars>
  <w:rsids>
    <w:rsidRoot w:val="008F7C14"/>
    <w:rsid w:val="001B3361"/>
    <w:rsid w:val="00210E2E"/>
    <w:rsid w:val="002D2969"/>
    <w:rsid w:val="0036250D"/>
    <w:rsid w:val="003C4029"/>
    <w:rsid w:val="003E69A3"/>
    <w:rsid w:val="004C523A"/>
    <w:rsid w:val="005C0157"/>
    <w:rsid w:val="005C7C07"/>
    <w:rsid w:val="00654C41"/>
    <w:rsid w:val="008D2077"/>
    <w:rsid w:val="008F7C14"/>
    <w:rsid w:val="009A02FA"/>
    <w:rsid w:val="009C1D98"/>
    <w:rsid w:val="00A723B6"/>
    <w:rsid w:val="00AF2CCC"/>
    <w:rsid w:val="00BD22CE"/>
    <w:rsid w:val="00C036C1"/>
    <w:rsid w:val="00D324F4"/>
    <w:rsid w:val="00DB48B2"/>
    <w:rsid w:val="00F80443"/>
    <w:rsid w:val="06CA5E97"/>
    <w:rsid w:val="12347167"/>
    <w:rsid w:val="146F6D55"/>
    <w:rsid w:val="14B16DCE"/>
    <w:rsid w:val="18AD437F"/>
    <w:rsid w:val="242616E0"/>
    <w:rsid w:val="2EA8370D"/>
    <w:rsid w:val="326070A9"/>
    <w:rsid w:val="35495218"/>
    <w:rsid w:val="381A0D63"/>
    <w:rsid w:val="47AB1874"/>
    <w:rsid w:val="4A1B668D"/>
    <w:rsid w:val="4DB72794"/>
    <w:rsid w:val="541E75D8"/>
    <w:rsid w:val="575663AA"/>
    <w:rsid w:val="576A36B5"/>
    <w:rsid w:val="6EC87509"/>
    <w:rsid w:val="72260EB4"/>
    <w:rsid w:val="7355410F"/>
    <w:rsid w:val="7BC3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2">
    <w:name w:val="heading 1"/>
    <w:basedOn w:val="1"/>
    <w:next w:val="1"/>
    <w:link w:val="16"/>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rPr>
  </w:style>
  <w:style w:type="paragraph" w:styleId="4">
    <w:name w:val="Body Text"/>
    <w:basedOn w:val="1"/>
    <w:next w:val="5"/>
    <w:link w:val="23"/>
    <w:unhideWhenUsed/>
    <w:qFormat/>
    <w:uiPriority w:val="0"/>
    <w:pPr>
      <w:spacing w:after="120"/>
    </w:pPr>
    <w:rPr>
      <w:rFonts w:eastAsiaTheme="minorEastAsia" w:cstheme="minorBidi"/>
      <w:kern w:val="2"/>
      <w:sz w:val="28"/>
      <w:szCs w:val="24"/>
    </w:rPr>
  </w:style>
  <w:style w:type="paragraph" w:styleId="5">
    <w:name w:val="Body Text First Indent"/>
    <w:basedOn w:val="4"/>
    <w:next w:val="1"/>
    <w:link w:val="22"/>
    <w:qFormat/>
    <w:uiPriority w:val="0"/>
    <w:pPr>
      <w:ind w:firstLine="420" w:firstLineChars="100"/>
    </w:pPr>
    <w:rPr>
      <w:sz w:val="21"/>
    </w:rPr>
  </w:style>
  <w:style w:type="paragraph" w:styleId="6">
    <w:name w:val="Body Text Indent"/>
    <w:basedOn w:val="1"/>
    <w:qFormat/>
    <w:uiPriority w:val="99"/>
    <w:pPr>
      <w:ind w:firstLine="830" w:firstLineChars="352"/>
    </w:pPr>
    <w:rPr>
      <w:rFonts w:ascii="仿宋_GB2312" w:hAnsi="Times New Roman" w:eastAsia="仿宋_GB2312"/>
      <w:sz w:val="32"/>
      <w:szCs w:val="20"/>
    </w:rPr>
  </w:style>
  <w:style w:type="paragraph" w:styleId="7">
    <w:name w:val="index 4"/>
    <w:basedOn w:val="1"/>
    <w:next w:val="1"/>
    <w:unhideWhenUsed/>
    <w:qFormat/>
    <w:uiPriority w:val="99"/>
    <w:pPr>
      <w:ind w:left="600" w:leftChars="600"/>
    </w:pPr>
    <w:rPr>
      <w:rFonts w:ascii="Verdana" w:hAnsi="Verdana"/>
    </w:rPr>
  </w:style>
  <w:style w:type="paragraph" w:styleId="8">
    <w:name w:val="Date"/>
    <w:basedOn w:val="1"/>
    <w:next w:val="1"/>
    <w:link w:val="24"/>
    <w:semiHidden/>
    <w:unhideWhenUsed/>
    <w:qFormat/>
    <w:uiPriority w:val="99"/>
    <w:pPr>
      <w:ind w:left="100" w:leftChars="2500"/>
    </w:p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qFormat/>
    <w:uiPriority w:val="0"/>
    <w:pPr>
      <w:spacing w:after="120"/>
      <w:ind w:left="420" w:leftChars="200" w:firstLine="420" w:firstLineChars="200"/>
    </w:pPr>
    <w:rPr>
      <w:rFonts w:eastAsia="仿宋"/>
      <w:sz w:val="28"/>
      <w:szCs w:val="24"/>
    </w:rPr>
  </w:style>
  <w:style w:type="table" w:styleId="13">
    <w:name w:val="Table Grid"/>
    <w:basedOn w:val="1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character" w:customStyle="1" w:styleId="16">
    <w:name w:val="标题 1 Char"/>
    <w:basedOn w:val="14"/>
    <w:link w:val="2"/>
    <w:qFormat/>
    <w:uiPriority w:val="0"/>
    <w:rPr>
      <w:rFonts w:ascii="Arial" w:hAnsi="Arial" w:eastAsia="华文中宋" w:cs="Times New Roman"/>
      <w:b/>
      <w:color w:val="000000"/>
      <w:sz w:val="32"/>
      <w:szCs w:val="24"/>
    </w:rPr>
  </w:style>
  <w:style w:type="character" w:customStyle="1" w:styleId="17">
    <w:name w:val="页眉 Char"/>
    <w:basedOn w:val="14"/>
    <w:link w:val="10"/>
    <w:semiHidden/>
    <w:qFormat/>
    <w:uiPriority w:val="99"/>
    <w:rPr>
      <w:sz w:val="18"/>
      <w:szCs w:val="18"/>
    </w:rPr>
  </w:style>
  <w:style w:type="character" w:customStyle="1" w:styleId="18">
    <w:name w:val="页脚 Char"/>
    <w:basedOn w:val="14"/>
    <w:link w:val="9"/>
    <w:semiHidden/>
    <w:qFormat/>
    <w:uiPriority w:val="99"/>
    <w:rPr>
      <w:sz w:val="18"/>
      <w:szCs w:val="18"/>
    </w:rPr>
  </w:style>
  <w:style w:type="character" w:customStyle="1" w:styleId="19">
    <w:name w:val="列出段落 Char"/>
    <w:link w:val="20"/>
    <w:qFormat/>
    <w:uiPriority w:val="34"/>
    <w:rPr>
      <w:rFonts w:ascii="Times New Roman" w:hAnsi="Times New Roman" w:cs="Times New Roman"/>
      <w:sz w:val="24"/>
      <w:szCs w:val="24"/>
      <w:lang w:eastAsia="en-US"/>
    </w:rPr>
  </w:style>
  <w:style w:type="paragraph" w:styleId="20">
    <w:name w:val="List Paragraph"/>
    <w:basedOn w:val="1"/>
    <w:link w:val="19"/>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21">
    <w:name w:val="正文文本 Char"/>
    <w:link w:val="4"/>
    <w:qFormat/>
    <w:uiPriority w:val="0"/>
    <w:rPr>
      <w:rFonts w:ascii="Calibri" w:hAnsi="Calibri"/>
      <w:sz w:val="28"/>
      <w:szCs w:val="24"/>
    </w:rPr>
  </w:style>
  <w:style w:type="character" w:customStyle="1" w:styleId="22">
    <w:name w:val="正文首行缩进 Char"/>
    <w:basedOn w:val="23"/>
    <w:link w:val="5"/>
    <w:qFormat/>
    <w:uiPriority w:val="0"/>
    <w:rPr>
      <w:szCs w:val="24"/>
    </w:rPr>
  </w:style>
  <w:style w:type="character" w:customStyle="1" w:styleId="23">
    <w:name w:val="正文文本 Char1"/>
    <w:basedOn w:val="14"/>
    <w:link w:val="4"/>
    <w:semiHidden/>
    <w:qFormat/>
    <w:uiPriority w:val="99"/>
    <w:rPr>
      <w:rFonts w:ascii="Calibri" w:hAnsi="Calibri" w:eastAsia="宋体" w:cs="Times New Roman"/>
      <w:kern w:val="0"/>
      <w:sz w:val="20"/>
      <w:szCs w:val="20"/>
    </w:rPr>
  </w:style>
  <w:style w:type="character" w:customStyle="1" w:styleId="24">
    <w:name w:val="日期 Char"/>
    <w:basedOn w:val="14"/>
    <w:link w:val="8"/>
    <w:semiHidden/>
    <w:qFormat/>
    <w:uiPriority w:val="99"/>
    <w:rPr>
      <w:rFonts w:ascii="Calibri" w:hAnsi="Calibri" w:eastAsia="宋体" w:cs="Times New Roman"/>
      <w:kern w:val="0"/>
      <w:sz w:val="20"/>
      <w:szCs w:val="20"/>
    </w:rPr>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6">
    <w:name w:val="font21"/>
    <w:basedOn w:val="14"/>
    <w:qFormat/>
    <w:uiPriority w:val="0"/>
    <w:rPr>
      <w:rFonts w:hint="eastAsia" w:ascii="宋体" w:hAnsi="宋体" w:eastAsia="宋体" w:cs="宋体"/>
      <w:color w:val="000000"/>
      <w:sz w:val="21"/>
      <w:szCs w:val="21"/>
      <w:u w:val="none"/>
    </w:rPr>
  </w:style>
  <w:style w:type="character" w:customStyle="1" w:styleId="27">
    <w:name w:val="font11"/>
    <w:basedOn w:val="14"/>
    <w:qFormat/>
    <w:uiPriority w:val="0"/>
    <w:rPr>
      <w:rFonts w:hint="eastAsia" w:ascii="宋体" w:hAnsi="宋体" w:eastAsia="宋体" w:cs="宋体"/>
      <w:color w:val="000000"/>
      <w:sz w:val="21"/>
      <w:szCs w:val="21"/>
      <w:u w:val="none"/>
    </w:rPr>
  </w:style>
  <w:style w:type="character" w:customStyle="1" w:styleId="28">
    <w:name w:val="font71"/>
    <w:basedOn w:val="14"/>
    <w:qFormat/>
    <w:uiPriority w:val="0"/>
    <w:rPr>
      <w:rFonts w:hint="eastAsia" w:ascii="宋体" w:hAnsi="宋体" w:eastAsia="宋体" w:cs="宋体"/>
      <w:color w:val="000000"/>
      <w:sz w:val="20"/>
      <w:szCs w:val="20"/>
      <w:u w:val="none"/>
    </w:rPr>
  </w:style>
  <w:style w:type="paragraph" w:customStyle="1" w:styleId="29">
    <w:name w:val="Char Char Char Char1 Char Char Char Char Char Char"/>
    <w:basedOn w:val="1"/>
    <w:qFormat/>
    <w:uiPriority w:val="0"/>
    <w:rPr>
      <w:rFonts w:ascii="Times New Roman" w:hAnsi="Times New Roman" w:cs="Calibr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10569</Words>
  <Characters>11185</Characters>
  <Lines>93</Lines>
  <Paragraphs>26</Paragraphs>
  <TotalTime>12</TotalTime>
  <ScaleCrop>false</ScaleCrop>
  <LinksUpToDate>false</LinksUpToDate>
  <CharactersWithSpaces>12205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2022-08-11T00:55:00Z</dcterms:created>
  <dc:creator>王延春(00192382)</dc:creator>
  <cp:lastModifiedBy>全忠英</cp:lastModifiedBy>
  <dcterms:modified xsi:type="dcterms:W3CDTF">2023-08-16T06:16:54Z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3A7BB9F213B74298B895DD07A40CE6FB_13</vt:lpwstr>
  </property>
</Properties>
</file>